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AC5857" w:rsidP="00D44968">
            <w:pPr>
              <w:suppressLineNumbers/>
              <w:jc w:val="both"/>
              <w:rPr>
                <w:rFonts w:ascii="Arial" w:hAnsi="Arial"/>
                <w:b/>
                <w:bCs/>
                <w:sz w:val="26"/>
                <w:szCs w:val="26"/>
                <w:rtl/>
              </w:rPr>
            </w:pPr>
            <w:r>
              <w:rPr>
                <w:rFonts w:ascii="Arial" w:hAnsi="Arial" w:hint="cs"/>
                <w:b/>
                <w:bCs/>
                <w:sz w:val="26"/>
                <w:szCs w:val="26"/>
                <w:rtl/>
              </w:rPr>
              <w:t>ל</w:t>
            </w:r>
            <w:r w:rsidR="0094424E" w:rsidRPr="008A59EE">
              <w:rPr>
                <w:rFonts w:ascii="Arial" w:hAnsi="Arial"/>
                <w:b/>
                <w:bCs/>
                <w:sz w:val="26"/>
                <w:szCs w:val="26"/>
                <w:rtl/>
              </w:rPr>
              <w:t xml:space="preserve">פני </w:t>
            </w:r>
          </w:p>
        </w:tc>
        <w:tc>
          <w:tcPr>
            <w:tcW w:w="8077"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עמית מיכלס</w:t>
                </w:r>
              </w:sdtContent>
            </w:sdt>
          </w:p>
          <w:p w:rsidR="00007DE0" w:rsidRPr="008A59EE" w:rsidRDefault="00007DE0" w:rsidP="00007DE0">
            <w:pPr>
              <w:suppressLineNumbers/>
              <w:rPr>
                <w:sz w:val="26"/>
                <w:szCs w:val="26"/>
              </w:rPr>
            </w:pPr>
          </w:p>
        </w:tc>
      </w:tr>
      <w:tr w:rsidR="0094424E" w:rsidTr="00465D36">
        <w:trPr>
          <w:jc w:val="center"/>
        </w:trPr>
        <w:tc>
          <w:tcPr>
            <w:tcW w:w="3249" w:type="dxa"/>
            <w:gridSpan w:val="2"/>
          </w:tcPr>
          <w:p w:rsidR="00FA7FD0" w:rsidRDefault="00FA7FD0" w:rsidP="00D44968">
            <w:pPr>
              <w:suppressLineNumbers/>
              <w:rPr>
                <w:rtl/>
              </w:rPr>
            </w:pPr>
          </w:p>
          <w:sdt>
            <w:sdtPr>
              <w:rPr>
                <w:rtl/>
              </w:rPr>
              <w:alias w:val="1180"/>
              <w:tag w:val="1180"/>
              <w:id w:val="637458750"/>
              <w:text w:multiLine="1"/>
            </w:sdtPr>
            <w:sdtEndPr/>
            <w:sdtContent>
              <w:p w:rsidR="00FE2FC9" w:rsidRDefault="000B344C" w:rsidP="007F53D5">
                <w:pPr>
                  <w:suppressLineNumbers/>
                  <w:rPr>
                    <w:rFonts w:ascii="Arial" w:hAnsi="Arial"/>
                    <w:b/>
                    <w:bCs/>
                    <w:noProof w:val="0"/>
                    <w:sz w:val="26"/>
                    <w:szCs w:val="26"/>
                    <w:rtl/>
                  </w:rPr>
                </w:pPr>
                <w:r>
                  <w:rPr>
                    <w:rFonts w:ascii="Arial" w:hAnsi="Arial" w:hint="cs"/>
                    <w:b/>
                    <w:bCs/>
                    <w:noProof w:val="0"/>
                    <w:sz w:val="26"/>
                    <w:szCs w:val="26"/>
                    <w:rtl/>
                  </w:rPr>
                  <w:t>ה</w:t>
                </w:r>
                <w:r w:rsidR="00A30FC0">
                  <w:rPr>
                    <w:rFonts w:ascii="Arial" w:hAnsi="Arial"/>
                    <w:b/>
                    <w:bCs/>
                    <w:noProof w:val="0"/>
                    <w:sz w:val="26"/>
                    <w:szCs w:val="26"/>
                    <w:rtl/>
                  </w:rPr>
                  <w:t>עורר</w:t>
                </w:r>
                <w:r w:rsidR="007F53D5">
                  <w:rPr>
                    <w:rFonts w:ascii="Arial" w:hAnsi="Arial" w:hint="cs"/>
                    <w:b/>
                    <w:bCs/>
                    <w:noProof w:val="0"/>
                    <w:sz w:val="26"/>
                    <w:szCs w:val="26"/>
                    <w:rtl/>
                  </w:rPr>
                  <w:t>ת</w:t>
                </w:r>
              </w:p>
            </w:sdtContent>
          </w:sdt>
        </w:tc>
        <w:tc>
          <w:tcPr>
            <w:tcW w:w="5571" w:type="dxa"/>
          </w:tcPr>
          <w:p w:rsidR="00FA7FD0" w:rsidRDefault="00FA7FD0" w:rsidP="00D44968">
            <w:pPr>
              <w:suppressLineNumbers/>
              <w:rPr>
                <w:rtl/>
              </w:rPr>
            </w:pPr>
          </w:p>
          <w:p w:rsidR="0094424E" w:rsidRDefault="00E41EA9" w:rsidP="00FE09EC">
            <w:pPr>
              <w:suppressLineNumbers/>
              <w:rPr>
                <w:b/>
                <w:bCs/>
                <w:noProof w:val="0"/>
                <w:sz w:val="26"/>
                <w:szCs w:val="26"/>
              </w:rPr>
            </w:pPr>
            <w:sdt>
              <w:sdtPr>
                <w:rPr>
                  <w:rFonts w:ascii="Arial" w:hAnsi="Arial"/>
                  <w:b/>
                  <w:bCs/>
                  <w:noProof w:val="0"/>
                  <w:sz w:val="26"/>
                  <w:szCs w:val="26"/>
                  <w:rtl/>
                </w:rPr>
                <w:alias w:val="3151"/>
                <w:tag w:val="3151"/>
                <w:id w:val="1166218717"/>
                <w:placeholder>
                  <w:docPart w:val="1C8A38705F7143EA87FF3DEB2C34E7E5"/>
                </w:placeholder>
                <w:text w:multiLine="1"/>
              </w:sdtPr>
              <w:sdtEndPr/>
              <w:sdtContent>
                <w:r w:rsidR="00E765F7">
                  <w:rPr>
                    <w:rFonts w:ascii="Arial" w:hAnsi="Arial"/>
                    <w:b/>
                    <w:bCs/>
                    <w:noProof w:val="0"/>
                    <w:sz w:val="26"/>
                    <w:szCs w:val="26"/>
                    <w:rtl/>
                  </w:rPr>
                  <w:t>מירי רגב</w:t>
                </w:r>
              </w:sdtContent>
            </w:sdt>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E41EA9" w:rsidP="007F53D5">
            <w:pPr>
              <w:suppressLineNumbers/>
              <w:rPr>
                <w:rFonts w:ascii="Arial" w:hAnsi="Arial"/>
                <w:b/>
                <w:bCs/>
                <w:noProof w:val="0"/>
                <w:sz w:val="26"/>
                <w:szCs w:val="26"/>
              </w:rPr>
            </w:pPr>
            <w:sdt>
              <w:sdtPr>
                <w:rPr>
                  <w:rtl/>
                </w:rPr>
                <w:alias w:val="1184"/>
                <w:tag w:val="1184"/>
                <w:id w:val="-340621022"/>
                <w:text w:multiLine="1"/>
              </w:sdtPr>
              <w:sdtEndPr/>
              <w:sdtContent>
                <w:r w:rsidR="000B344C">
                  <w:rPr>
                    <w:rFonts w:ascii="Arial" w:hAnsi="Arial" w:hint="cs"/>
                    <w:b/>
                    <w:bCs/>
                    <w:noProof w:val="0"/>
                    <w:sz w:val="26"/>
                    <w:szCs w:val="26"/>
                    <w:rtl/>
                  </w:rPr>
                  <w:t>ה</w:t>
                </w:r>
                <w:r w:rsidR="00E765F7">
                  <w:rPr>
                    <w:rFonts w:ascii="Arial" w:hAnsi="Arial"/>
                    <w:b/>
                    <w:bCs/>
                    <w:noProof w:val="0"/>
                    <w:sz w:val="26"/>
                    <w:szCs w:val="26"/>
                    <w:rtl/>
                  </w:rPr>
                  <w:t>משיב</w:t>
                </w:r>
                <w:r w:rsidR="007F53D5">
                  <w:rPr>
                    <w:rFonts w:ascii="Arial" w:hAnsi="Arial" w:hint="cs"/>
                    <w:b/>
                    <w:bCs/>
                    <w:noProof w:val="0"/>
                    <w:sz w:val="26"/>
                    <w:szCs w:val="26"/>
                    <w:rtl/>
                  </w:rPr>
                  <w:t>ה</w:t>
                </w:r>
              </w:sdtContent>
            </w:sdt>
          </w:p>
        </w:tc>
        <w:tc>
          <w:tcPr>
            <w:tcW w:w="5571" w:type="dxa"/>
          </w:tcPr>
          <w:p w:rsidR="00CF6BB7" w:rsidRPr="00CD516B" w:rsidRDefault="00E41EA9" w:rsidP="00FE09EC">
            <w:pPr>
              <w:suppressLineNumbers/>
              <w:rPr>
                <w:rFonts w:ascii="Arial" w:hAnsi="Arial"/>
                <w:b/>
                <w:bCs/>
                <w:noProof w:val="0"/>
                <w:sz w:val="26"/>
                <w:szCs w:val="26"/>
                <w:rtl/>
              </w:rPr>
            </w:pPr>
            <w:sdt>
              <w:sdtPr>
                <w:rPr>
                  <w:rFonts w:ascii="Arial" w:hAnsi="Arial"/>
                  <w:b/>
                  <w:bCs/>
                  <w:noProof w:val="0"/>
                  <w:sz w:val="26"/>
                  <w:szCs w:val="26"/>
                  <w:rtl/>
                </w:rPr>
                <w:alias w:val="3152"/>
                <w:tag w:val="3152"/>
                <w:id w:val="-1346628691"/>
                <w:placeholder>
                  <w:docPart w:val="4DC45A2FD697422FAA3CD896A84FA7B4"/>
                </w:placeholder>
                <w:text w:multiLine="1"/>
              </w:sdtPr>
              <w:sdtEndPr/>
              <w:sdtContent>
                <w:r w:rsidR="00E765F7">
                  <w:rPr>
                    <w:rFonts w:ascii="Arial" w:hAnsi="Arial"/>
                    <w:b/>
                    <w:bCs/>
                    <w:noProof w:val="0"/>
                    <w:sz w:val="26"/>
                    <w:szCs w:val="26"/>
                    <w:rtl/>
                  </w:rPr>
                  <w:t>מדינת ישראל</w:t>
                </w:r>
              </w:sdtContent>
            </w:sdt>
          </w:p>
        </w:tc>
      </w:tr>
      <w:tr w:rsidR="00CF6BB7" w:rsidTr="00280865">
        <w:trPr>
          <w:jc w:val="center"/>
        </w:trPr>
        <w:tc>
          <w:tcPr>
            <w:tcW w:w="8820" w:type="dxa"/>
            <w:gridSpan w:val="3"/>
          </w:tcPr>
          <w:p w:rsidR="00CF6BB7" w:rsidRDefault="00CF6BB7" w:rsidP="00D44968">
            <w:pPr>
              <w:suppressLineNumbers/>
              <w:rPr>
                <w:rtl/>
              </w:rPr>
            </w:pPr>
          </w:p>
        </w:tc>
      </w:tr>
      <w:tr w:rsidR="00CF6BB7">
        <w:trPr>
          <w:jc w:val="center"/>
        </w:trPr>
        <w:tc>
          <w:tcPr>
            <w:tcW w:w="3249" w:type="dxa"/>
            <w:gridSpan w:val="2"/>
          </w:tcPr>
          <w:p w:rsidR="00B62AD7" w:rsidRPr="00B62AD7" w:rsidRDefault="00B62AD7" w:rsidP="00B66717">
            <w:pPr>
              <w:rPr>
                <w:rFonts w:ascii="David" w:eastAsia="David" w:hAnsi="David"/>
                <w:b/>
                <w:bCs/>
                <w:noProof w:val="0"/>
              </w:rPr>
            </w:pPr>
          </w:p>
        </w:tc>
        <w:tc>
          <w:tcPr>
            <w:tcW w:w="5571" w:type="dxa"/>
          </w:tcPr>
          <w:p w:rsidR="00CF6BB7" w:rsidRDefault="00CF6BB7" w:rsidP="00B66717">
            <w:pPr>
              <w:rPr>
                <w:b/>
                <w:bCs/>
                <w:sz w:val="26"/>
                <w:szCs w:val="26"/>
                <w:rtl/>
              </w:rPr>
            </w:pPr>
          </w:p>
          <w:p w:rsidR="00B66717" w:rsidRPr="00B62AD7" w:rsidRDefault="00B66717" w:rsidP="00B66717">
            <w:pPr>
              <w:rPr>
                <w:b/>
                <w:bCs/>
                <w:sz w:val="26"/>
                <w:szCs w:val="26"/>
              </w:rPr>
            </w:pPr>
          </w:p>
        </w:tc>
      </w:tr>
      <w:tr w:rsidR="004C17EE" w:rsidRPr="001F6449" w:rsidTr="00D620FD">
        <w:trPr>
          <w:jc w:val="center"/>
        </w:trPr>
        <w:tc>
          <w:tcPr>
            <w:tcW w:w="8820" w:type="dxa"/>
            <w:gridSpan w:val="3"/>
          </w:tcPr>
          <w:p w:rsidR="00FE2FC9" w:rsidRPr="001F6449" w:rsidRDefault="00120EE1">
            <w:pPr>
              <w:suppressLineNumbers/>
              <w:rPr>
                <w:rFonts w:ascii="Arial" w:hAnsi="Arial"/>
                <w:noProof w:val="0"/>
                <w:sz w:val="26"/>
                <w:szCs w:val="26"/>
                <w:rtl/>
              </w:rPr>
            </w:pPr>
            <w:r w:rsidRPr="001F6449">
              <w:rPr>
                <w:rFonts w:ascii="Arial" w:hAnsi="Arial" w:hint="cs"/>
                <w:noProof w:val="0"/>
                <w:sz w:val="26"/>
                <w:szCs w:val="26"/>
                <w:rtl/>
              </w:rPr>
              <w:t>בשם העוררת: עוה"ד עמית חדד, ישראל וולנרמן ואלי פרי</w:t>
            </w:r>
          </w:p>
          <w:p w:rsidR="001F6449" w:rsidRPr="001F6449" w:rsidRDefault="001F6449">
            <w:pPr>
              <w:suppressLineNumbers/>
              <w:rPr>
                <w:rFonts w:ascii="Arial" w:hAnsi="Arial"/>
                <w:noProof w:val="0"/>
                <w:sz w:val="26"/>
                <w:szCs w:val="26"/>
                <w:rtl/>
              </w:rPr>
            </w:pPr>
          </w:p>
          <w:p w:rsidR="00120EE1" w:rsidRPr="001F6449" w:rsidRDefault="00120EE1">
            <w:pPr>
              <w:suppressLineNumbers/>
              <w:rPr>
                <w:rFonts w:ascii="Arial" w:hAnsi="Arial"/>
                <w:noProof w:val="0"/>
                <w:sz w:val="26"/>
                <w:szCs w:val="26"/>
                <w:rtl/>
              </w:rPr>
            </w:pPr>
            <w:r w:rsidRPr="001F6449">
              <w:rPr>
                <w:rFonts w:ascii="Arial" w:hAnsi="Arial" w:hint="cs"/>
                <w:noProof w:val="0"/>
                <w:sz w:val="26"/>
                <w:szCs w:val="26"/>
                <w:rtl/>
              </w:rPr>
              <w:t>בשם המשיבה: עוה"ד אתי בן דור</w:t>
            </w:r>
            <w:r w:rsidR="001F6449" w:rsidRPr="001F6449">
              <w:rPr>
                <w:rFonts w:ascii="Arial" w:hAnsi="Arial" w:hint="cs"/>
                <w:noProof w:val="0"/>
                <w:sz w:val="26"/>
                <w:szCs w:val="26"/>
                <w:rtl/>
              </w:rPr>
              <w:t>, הילה גבאי ותמר פירון</w:t>
            </w:r>
          </w:p>
        </w:tc>
      </w:tr>
    </w:tbl>
    <w:p w:rsidR="0094424E" w:rsidRDefault="0094424E" w:rsidP="00D44968">
      <w:pPr>
        <w:suppressLineNumbers/>
        <w:rPr>
          <w:rtl/>
        </w:rPr>
      </w:pPr>
    </w:p>
    <w:p w:rsidR="001F6449" w:rsidRDefault="001F6449" w:rsidP="00D44968">
      <w:pPr>
        <w:suppressLineNumbers/>
        <w:rPr>
          <w:rtl/>
        </w:rPr>
      </w:pPr>
    </w:p>
    <w:p w:rsidR="001F6449" w:rsidRDefault="001F6449"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296E1E" w:rsidRDefault="00296E1E" w:rsidP="001D5951">
      <w:pPr>
        <w:spacing w:line="360" w:lineRule="auto"/>
        <w:ind w:firstLine="720"/>
        <w:jc w:val="both"/>
        <w:rPr>
          <w:rFonts w:ascii="FrankRuehl" w:hAnsi="FrankRuehl" w:cs="FrankRuehl"/>
          <w:noProof w:val="0"/>
          <w:sz w:val="28"/>
          <w:szCs w:val="28"/>
          <w:rtl/>
        </w:rPr>
      </w:pPr>
      <w:bookmarkStart w:id="1" w:name="NGCSBookmark"/>
      <w:bookmarkEnd w:id="1"/>
    </w:p>
    <w:p w:rsidR="001D5951" w:rsidRDefault="001D5951" w:rsidP="001D5951">
      <w:pPr>
        <w:spacing w:line="360" w:lineRule="auto"/>
        <w:ind w:firstLine="720"/>
        <w:jc w:val="both"/>
        <w:rPr>
          <w:rFonts w:ascii="FrankRuehl" w:hAnsi="FrankRuehl" w:cs="FrankRuehl"/>
          <w:noProof w:val="0"/>
          <w:sz w:val="28"/>
          <w:szCs w:val="28"/>
        </w:rPr>
      </w:pPr>
      <w:r>
        <w:rPr>
          <w:rFonts w:ascii="FrankRuehl" w:hAnsi="FrankRuehl" w:cs="FrankRuehl"/>
          <w:noProof w:val="0"/>
          <w:sz w:val="28"/>
          <w:szCs w:val="28"/>
          <w:rtl/>
        </w:rPr>
        <w:t xml:space="preserve">ערר על החלטת בית משפט השלום בראשון לציון (כב' הנשיא </w:t>
      </w:r>
      <w:r>
        <w:rPr>
          <w:rFonts w:ascii="Miriam" w:hAnsi="Miriam" w:cs="Miriam"/>
          <w:noProof w:val="0"/>
          <w:rtl/>
        </w:rPr>
        <w:t>מ' מזרחי</w:t>
      </w:r>
      <w:r>
        <w:rPr>
          <w:rFonts w:ascii="FrankRuehl" w:hAnsi="FrankRuehl" w:cs="FrankRuehl"/>
          <w:noProof w:val="0"/>
          <w:sz w:val="28"/>
          <w:szCs w:val="28"/>
          <w:rtl/>
        </w:rPr>
        <w:t xml:space="preserve">) מיום 22.6.2024, במסגרתה נדחתה בקשת העוררת "לסייג את צווי החיפוש שהוצאו [על ידי בית המשפט] במעמד צד אחד", בטענה שחלה חסינות לגבי הפריטים שנתפסו בלשכתה ובמשרד התחבורה, בהתאם לחוק חסינות חברי כנסת, זכויותיהם וחובותיהם, תשי"א - 1951 (להלן: </w:t>
      </w:r>
      <w:r>
        <w:rPr>
          <w:rFonts w:ascii="Miriam" w:hAnsi="Miriam" w:cs="Miriam"/>
          <w:noProof w:val="0"/>
          <w:rtl/>
        </w:rPr>
        <w:t xml:space="preserve">החוק </w:t>
      </w:r>
      <w:r>
        <w:rPr>
          <w:rFonts w:ascii="FrankRuehl" w:hAnsi="FrankRuehl" w:cs="FrankRuehl"/>
          <w:noProof w:val="0"/>
          <w:sz w:val="28"/>
          <w:szCs w:val="28"/>
          <w:rtl/>
        </w:rPr>
        <w:t>או</w:t>
      </w:r>
      <w:r>
        <w:rPr>
          <w:rFonts w:ascii="Miriam" w:hAnsi="Miriam" w:cs="Miriam"/>
          <w:noProof w:val="0"/>
          <w:rtl/>
        </w:rPr>
        <w:t xml:space="preserve"> חוק החסינות</w:t>
      </w:r>
      <w:r>
        <w:rPr>
          <w:rFonts w:ascii="FrankRuehl" w:hAnsi="FrankRuehl" w:cs="FrankRuehl"/>
          <w:noProof w:val="0"/>
          <w:sz w:val="28"/>
          <w:szCs w:val="28"/>
          <w:rtl/>
        </w:rPr>
        <w:t>). על אף שהעוררת היא שרת התחבורה שחדלה להיות חברת כנסת ביום 15.2.2023, אין מחלוקת בין הצדדים שהיא זכאית ליהנות מחוק החסינות, בהתאם להוראות סעיף 15 לחוק.</w:t>
      </w:r>
    </w:p>
    <w:p w:rsidR="001D5951" w:rsidRDefault="001D5951" w:rsidP="001D5951">
      <w:pPr>
        <w:rPr>
          <w:rFonts w:ascii="FrankRuehl" w:hAnsi="FrankRuehl" w:cs="FrankRuehl"/>
          <w:noProof w:val="0"/>
          <w:sz w:val="28"/>
          <w:szCs w:val="28"/>
        </w:rPr>
      </w:pPr>
    </w:p>
    <w:p w:rsidR="001D5951" w:rsidRPr="006D21CB" w:rsidRDefault="001D5951" w:rsidP="001D5951">
      <w:pPr>
        <w:rPr>
          <w:rFonts w:ascii="FrankRuehl" w:hAnsi="FrankRuehl" w:cs="FrankRuehl"/>
          <w:noProof w:val="0"/>
          <w:sz w:val="28"/>
          <w:szCs w:val="28"/>
          <w:rtl/>
        </w:rPr>
      </w:pPr>
      <w:r w:rsidRPr="006D21CB">
        <w:rPr>
          <w:rFonts w:ascii="Miriam" w:hAnsi="Miriam" w:cs="Miriam"/>
          <w:noProof w:val="0"/>
          <w:sz w:val="28"/>
          <w:szCs w:val="28"/>
          <w:rtl/>
        </w:rPr>
        <w:t xml:space="preserve">רקע </w:t>
      </w:r>
    </w:p>
    <w:p w:rsidR="001D5951" w:rsidRDefault="001D5951" w:rsidP="001D5951">
      <w:pPr>
        <w:rPr>
          <w:rFonts w:ascii="FrankRuehl" w:hAnsi="FrankRuehl" w:cs="FrankRuehl"/>
          <w:noProof w:val="0"/>
          <w:sz w:val="28"/>
          <w:szCs w:val="28"/>
          <w:rtl/>
        </w:rPr>
      </w:pPr>
    </w:p>
    <w:p w:rsidR="001D5951" w:rsidRDefault="001D5951" w:rsidP="001D5951">
      <w:pPr>
        <w:spacing w:line="360" w:lineRule="auto"/>
        <w:jc w:val="both"/>
        <w:rPr>
          <w:rFonts w:ascii="FrankRuehl" w:hAnsi="FrankRuehl" w:cs="FrankRuehl"/>
          <w:noProof w:val="0"/>
          <w:sz w:val="28"/>
          <w:szCs w:val="28"/>
          <w:rtl/>
        </w:rPr>
      </w:pPr>
      <w:r>
        <w:rPr>
          <w:rFonts w:ascii="FrankRuehl" w:hAnsi="FrankRuehl" w:cs="FrankRuehl"/>
          <w:noProof w:val="0"/>
          <w:sz w:val="28"/>
          <w:szCs w:val="28"/>
          <w:rtl/>
        </w:rPr>
        <w:t>1.</w:t>
      </w:r>
      <w:r>
        <w:rPr>
          <w:rFonts w:ascii="FrankRuehl" w:hAnsi="FrankRuehl" w:cs="FrankRuehl"/>
          <w:noProof w:val="0"/>
          <w:sz w:val="28"/>
          <w:szCs w:val="28"/>
          <w:rtl/>
        </w:rPr>
        <w:tab/>
        <w:t xml:space="preserve">בתאריך 9.6.2024 נחתמו בבית משפט קמא צווי חיפוש מכוח סעיפים 23 ו-23א לפקודת סדר הדין הפלילי (מעצר וחיפוש) [נוסח חדש], התשכ"ט-1969 (להלן: </w:t>
      </w:r>
      <w:r>
        <w:rPr>
          <w:rFonts w:ascii="Miriam" w:hAnsi="Miriam" w:cs="Miriam"/>
          <w:noProof w:val="0"/>
          <w:rtl/>
        </w:rPr>
        <w:t>הפקודה</w:t>
      </w:r>
      <w:r>
        <w:rPr>
          <w:rFonts w:ascii="FrankRuehl" w:hAnsi="FrankRuehl" w:cs="FrankRuehl"/>
          <w:noProof w:val="0"/>
          <w:sz w:val="28"/>
          <w:szCs w:val="28"/>
          <w:rtl/>
        </w:rPr>
        <w:t xml:space="preserve"> או</w:t>
      </w:r>
      <w:r>
        <w:rPr>
          <w:rFonts w:ascii="Miriam" w:hAnsi="Miriam" w:cs="Miriam"/>
          <w:noProof w:val="0"/>
          <w:rtl/>
        </w:rPr>
        <w:t xml:space="preserve"> פקודת החיפוש</w:t>
      </w:r>
      <w:r>
        <w:rPr>
          <w:rFonts w:ascii="FrankRuehl" w:hAnsi="FrankRuehl" w:cs="FrankRuehl"/>
          <w:noProof w:val="0"/>
          <w:sz w:val="28"/>
          <w:szCs w:val="28"/>
          <w:rtl/>
        </w:rPr>
        <w:t>), שהתירו למשיבה לערוך חיפוש במשרד התחבורה לצורך איסוף ראיות בקשר לחקירה פלילית שנפתחה בין היתר נגד העוררת. לנוכח הוראות חוק החסינות, קבע בית משפט קמא במעמד החתימה על הצו שכל החומר שייתפס במסגרת החיפוש בלשכת העוררת יוכנס למעטפות סגורות ויועבר לעיון בית המשפט טרם שהמשיבה תוכל לעיין בו.</w:t>
      </w:r>
    </w:p>
    <w:p w:rsidR="001D5951" w:rsidRDefault="001D5951" w:rsidP="001D5951">
      <w:pPr>
        <w:rPr>
          <w:rFonts w:ascii="FrankRuehl" w:hAnsi="FrankRuehl" w:cs="FrankRuehl"/>
          <w:noProof w:val="0"/>
          <w:sz w:val="28"/>
          <w:szCs w:val="28"/>
          <w:rtl/>
        </w:rPr>
      </w:pPr>
    </w:p>
    <w:p w:rsidR="001D5951" w:rsidRDefault="001D5951" w:rsidP="001D5951">
      <w:pPr>
        <w:spacing w:line="360" w:lineRule="auto"/>
        <w:jc w:val="both"/>
        <w:rPr>
          <w:rFonts w:ascii="FrankRuehl" w:hAnsi="FrankRuehl" w:cs="FrankRuehl"/>
          <w:noProof w:val="0"/>
          <w:sz w:val="28"/>
          <w:szCs w:val="28"/>
          <w:rtl/>
        </w:rPr>
      </w:pPr>
      <w:r>
        <w:rPr>
          <w:rFonts w:ascii="FrankRuehl" w:hAnsi="FrankRuehl" w:cs="FrankRuehl"/>
          <w:noProof w:val="0"/>
          <w:sz w:val="28"/>
          <w:szCs w:val="28"/>
          <w:rtl/>
        </w:rPr>
        <w:lastRenderedPageBreak/>
        <w:tab/>
      </w:r>
      <w:r w:rsidR="00B70D63">
        <w:rPr>
          <w:rFonts w:ascii="FrankRuehl" w:hAnsi="FrankRuehl" w:cs="FrankRuehl" w:hint="cs"/>
          <w:noProof w:val="0"/>
          <w:sz w:val="28"/>
          <w:szCs w:val="28"/>
          <w:rtl/>
        </w:rPr>
        <w:t xml:space="preserve">יום </w:t>
      </w:r>
      <w:r>
        <w:rPr>
          <w:rFonts w:ascii="FrankRuehl" w:hAnsi="FrankRuehl" w:cs="FrankRuehl"/>
          <w:noProof w:val="0"/>
          <w:sz w:val="28"/>
          <w:szCs w:val="28"/>
          <w:rtl/>
        </w:rPr>
        <w:t>לאחר</w:t>
      </w:r>
      <w:r w:rsidR="00B70D63">
        <w:rPr>
          <w:rFonts w:ascii="FrankRuehl" w:hAnsi="FrankRuehl" w:cs="FrankRuehl" w:hint="cs"/>
          <w:noProof w:val="0"/>
          <w:sz w:val="28"/>
          <w:szCs w:val="28"/>
          <w:rtl/>
        </w:rPr>
        <w:t xml:space="preserve"> שנתפסו המסמכים, הגישה העוררת לבית משפט קמא בקשה שכותרתה "</w:t>
      </w:r>
      <w:r w:rsidR="00B70D63" w:rsidRPr="00B70D63">
        <w:rPr>
          <w:rFonts w:ascii="Miriam" w:hAnsi="Miriam" w:cs="Miriam"/>
          <w:noProof w:val="0"/>
          <w:rtl/>
        </w:rPr>
        <w:t>בקשה לקיום דיון – דחוף – בצו החיפוש שהוצא ביום 9.6.2024 בעניין חיפוש בלשכתה של חברת הכנסת מירי רגב</w:t>
      </w:r>
      <w:r w:rsidR="00B70D63">
        <w:rPr>
          <w:rFonts w:ascii="FrankRuehl" w:hAnsi="FrankRuehl" w:cs="FrankRuehl" w:hint="cs"/>
          <w:noProof w:val="0"/>
          <w:sz w:val="28"/>
          <w:szCs w:val="28"/>
          <w:rtl/>
        </w:rPr>
        <w:t>". לאחר</w:t>
      </w:r>
      <w:r>
        <w:rPr>
          <w:rFonts w:ascii="FrankRuehl" w:hAnsi="FrankRuehl" w:cs="FrankRuehl"/>
          <w:noProof w:val="0"/>
          <w:sz w:val="28"/>
          <w:szCs w:val="28"/>
          <w:rtl/>
        </w:rPr>
        <w:t xml:space="preserve"> שקיים דיון בבקשה ולאחר שעיין במסמכים שנתפסו, מצא בית משפט קמא להעביר את מרביתם לידי המשיבה, כאשר התפוסים שלגביהם נקבע שחלה חסינות הוכנסו לקלסר נפרד (להלן: </w:t>
      </w:r>
      <w:r>
        <w:rPr>
          <w:rFonts w:ascii="Miriam" w:hAnsi="Miriam" w:cs="Miriam"/>
          <w:noProof w:val="0"/>
          <w:rtl/>
        </w:rPr>
        <w:t>קלסר החסינות</w:t>
      </w:r>
      <w:r>
        <w:rPr>
          <w:rFonts w:ascii="FrankRuehl" w:hAnsi="FrankRuehl" w:cs="FrankRuehl"/>
          <w:noProof w:val="0"/>
          <w:sz w:val="28"/>
          <w:szCs w:val="28"/>
          <w:rtl/>
        </w:rPr>
        <w:t>), שנותר בלשכת הנשיא "בשלב זה עד החלטה אחרת".</w:t>
      </w:r>
    </w:p>
    <w:p w:rsidR="001D5951" w:rsidRDefault="001D5951" w:rsidP="001D5951">
      <w:pPr>
        <w:rPr>
          <w:rFonts w:ascii="FrankRuehl" w:hAnsi="FrankRuehl" w:cs="FrankRuehl"/>
          <w:noProof w:val="0"/>
          <w:sz w:val="28"/>
          <w:szCs w:val="28"/>
          <w:rtl/>
        </w:rPr>
      </w:pPr>
    </w:p>
    <w:p w:rsidR="001D5951" w:rsidRDefault="001D5951" w:rsidP="001D5951">
      <w:pPr>
        <w:spacing w:line="360" w:lineRule="auto"/>
        <w:jc w:val="both"/>
        <w:rPr>
          <w:rFonts w:ascii="FrankRuehl" w:hAnsi="FrankRuehl" w:cs="FrankRuehl"/>
          <w:noProof w:val="0"/>
          <w:sz w:val="28"/>
          <w:szCs w:val="28"/>
          <w:rtl/>
        </w:rPr>
      </w:pPr>
      <w:r>
        <w:rPr>
          <w:rFonts w:ascii="FrankRuehl" w:hAnsi="FrankRuehl" w:cs="FrankRuehl"/>
          <w:noProof w:val="0"/>
          <w:sz w:val="28"/>
          <w:szCs w:val="28"/>
          <w:rtl/>
        </w:rPr>
        <w:t>2.</w:t>
      </w:r>
      <w:r>
        <w:rPr>
          <w:rFonts w:ascii="FrankRuehl" w:hAnsi="FrankRuehl" w:cs="FrankRuehl"/>
          <w:noProof w:val="0"/>
          <w:sz w:val="28"/>
          <w:szCs w:val="28"/>
          <w:rtl/>
        </w:rPr>
        <w:tab/>
        <w:t xml:space="preserve">בהחלטתו מיום 22.6.2024 קבע בית משפט קמא שעל אף שככלל אין זכות השגה לבית המשפט בהליך של הוצאת צו, בהתאם לכללים שהותוו בדעת הרוב בדנ"פ 1062/21 </w:t>
      </w:r>
      <w:r>
        <w:rPr>
          <w:rFonts w:ascii="Miriam" w:hAnsi="Miriam" w:cs="Miriam"/>
          <w:noProof w:val="0"/>
          <w:rtl/>
        </w:rPr>
        <w:t>אוריך נ' מדינת ישראל</w:t>
      </w:r>
      <w:r>
        <w:rPr>
          <w:rFonts w:ascii="FrankRuehl" w:hAnsi="FrankRuehl" w:cs="FrankRuehl"/>
          <w:noProof w:val="0"/>
          <w:sz w:val="28"/>
          <w:szCs w:val="28"/>
          <w:rtl/>
        </w:rPr>
        <w:t xml:space="preserve"> (11.1.2022) (להלן: </w:t>
      </w:r>
      <w:r w:rsidRPr="00327A7C">
        <w:rPr>
          <w:rFonts w:ascii="FrankRuehl" w:hAnsi="FrankRuehl" w:cs="FrankRuehl"/>
          <w:noProof w:val="0"/>
          <w:sz w:val="28"/>
          <w:szCs w:val="28"/>
          <w:rtl/>
        </w:rPr>
        <w:t>דנ"פ</w:t>
      </w:r>
      <w:r>
        <w:rPr>
          <w:rFonts w:ascii="Miriam" w:hAnsi="Miriam" w:cs="Miriam"/>
          <w:noProof w:val="0"/>
          <w:rtl/>
        </w:rPr>
        <w:t xml:space="preserve"> אוריך</w:t>
      </w:r>
      <w:r>
        <w:rPr>
          <w:rFonts w:ascii="FrankRuehl" w:hAnsi="FrankRuehl" w:cs="FrankRuehl"/>
          <w:noProof w:val="0"/>
          <w:sz w:val="28"/>
          <w:szCs w:val="28"/>
          <w:rtl/>
        </w:rPr>
        <w:t xml:space="preserve">) אלא במקרים חריגים ביותר, הרי שהמקרה שלפנינו נמנה על אותם מקרים חריגים המצדיקים קיום דיון בנוכחות ב"כ הצדדים. לגופה של הבקשה דחה בית משפט קמא את טענות העוררת, תוך שקבע שלמעט מספר מצומצם של מסמכים שנתפסו, קמה למשיבה זכות לתפוס את יתר המסמכים במסגרת הצו. </w:t>
      </w:r>
    </w:p>
    <w:p w:rsidR="001D5951" w:rsidRDefault="001D5951" w:rsidP="001D5951">
      <w:pPr>
        <w:rPr>
          <w:rFonts w:ascii="FrankRuehl" w:hAnsi="FrankRuehl" w:cs="FrankRuehl"/>
          <w:noProof w:val="0"/>
          <w:sz w:val="28"/>
          <w:szCs w:val="28"/>
          <w:rtl/>
        </w:rPr>
      </w:pPr>
    </w:p>
    <w:p w:rsidR="001D5951" w:rsidRDefault="001D5951" w:rsidP="001D5951">
      <w:pPr>
        <w:spacing w:line="360" w:lineRule="auto"/>
        <w:jc w:val="both"/>
        <w:rPr>
          <w:rFonts w:ascii="Miriam" w:hAnsi="Miriam" w:cs="Miriam"/>
          <w:noProof w:val="0"/>
          <w:sz w:val="28"/>
          <w:szCs w:val="28"/>
          <w:rtl/>
        </w:rPr>
      </w:pPr>
      <w:r>
        <w:rPr>
          <w:rFonts w:ascii="Miriam" w:hAnsi="Miriam" w:cs="Miriam"/>
          <w:noProof w:val="0"/>
          <w:sz w:val="28"/>
          <w:szCs w:val="28"/>
          <w:rtl/>
        </w:rPr>
        <w:t>דיון</w:t>
      </w:r>
    </w:p>
    <w:p w:rsidR="001D5951" w:rsidRDefault="001D5951" w:rsidP="001D5951">
      <w:pPr>
        <w:rPr>
          <w:rFonts w:ascii="FrankRuehl" w:hAnsi="FrankRuehl" w:cs="FrankRuehl"/>
          <w:noProof w:val="0"/>
          <w:sz w:val="28"/>
          <w:szCs w:val="28"/>
          <w:rtl/>
        </w:rPr>
      </w:pPr>
    </w:p>
    <w:p w:rsidR="001D5951" w:rsidRDefault="001D5951" w:rsidP="001D5951">
      <w:pPr>
        <w:spacing w:line="360" w:lineRule="auto"/>
        <w:jc w:val="both"/>
        <w:rPr>
          <w:rFonts w:ascii="FrankRuehl" w:hAnsi="FrankRuehl" w:cs="FrankRuehl"/>
          <w:noProof w:val="0"/>
          <w:sz w:val="28"/>
          <w:szCs w:val="28"/>
          <w:rtl/>
        </w:rPr>
      </w:pPr>
      <w:r>
        <w:rPr>
          <w:rFonts w:ascii="FrankRuehl" w:hAnsi="FrankRuehl" w:cs="FrankRuehl"/>
          <w:noProof w:val="0"/>
          <w:sz w:val="28"/>
          <w:szCs w:val="28"/>
          <w:rtl/>
        </w:rPr>
        <w:t>3.</w:t>
      </w:r>
      <w:r>
        <w:rPr>
          <w:rFonts w:ascii="FrankRuehl" w:hAnsi="FrankRuehl" w:cs="FrankRuehl"/>
          <w:noProof w:val="0"/>
          <w:sz w:val="28"/>
          <w:szCs w:val="28"/>
          <w:rtl/>
        </w:rPr>
        <w:tab/>
        <w:t>אומר כבר בפתח הדברים כי דין הערר להידחות על הסף, בהעדר זכות להגישו.</w:t>
      </w:r>
    </w:p>
    <w:p w:rsidR="001D5951" w:rsidRDefault="001D5951" w:rsidP="001D5951">
      <w:pPr>
        <w:rPr>
          <w:rFonts w:ascii="FrankRuehl" w:hAnsi="FrankRuehl" w:cs="FrankRuehl"/>
          <w:noProof w:val="0"/>
          <w:sz w:val="28"/>
          <w:szCs w:val="28"/>
          <w:rtl/>
        </w:rPr>
      </w:pPr>
    </w:p>
    <w:p w:rsidR="001D5951" w:rsidRDefault="001D5951" w:rsidP="001D5951">
      <w:pPr>
        <w:rPr>
          <w:rFonts w:ascii="FrankRuehl" w:hAnsi="FrankRuehl" w:cs="FrankRuehl"/>
          <w:b/>
          <w:bCs/>
          <w:noProof w:val="0"/>
          <w:sz w:val="28"/>
          <w:szCs w:val="28"/>
          <w:rtl/>
        </w:rPr>
      </w:pPr>
      <w:r>
        <w:rPr>
          <w:rFonts w:ascii="FrankRuehl" w:hAnsi="FrankRuehl" w:cs="FrankRuehl"/>
          <w:b/>
          <w:bCs/>
          <w:noProof w:val="0"/>
          <w:sz w:val="28"/>
          <w:szCs w:val="28"/>
          <w:rtl/>
        </w:rPr>
        <w:t xml:space="preserve">קיום הדיון בבית משפט קמא </w:t>
      </w:r>
    </w:p>
    <w:p w:rsidR="001D5951" w:rsidRDefault="001D5951" w:rsidP="001D5951">
      <w:pPr>
        <w:rPr>
          <w:rFonts w:ascii="FrankRuehl" w:hAnsi="FrankRuehl" w:cs="FrankRuehl"/>
          <w:noProof w:val="0"/>
          <w:sz w:val="28"/>
          <w:szCs w:val="28"/>
          <w:rtl/>
        </w:rPr>
      </w:pPr>
    </w:p>
    <w:p w:rsidR="001D5951" w:rsidRDefault="001D5951" w:rsidP="00945BFB">
      <w:pPr>
        <w:spacing w:line="360" w:lineRule="auto"/>
        <w:jc w:val="both"/>
        <w:rPr>
          <w:rFonts w:ascii="FrankRuehl" w:hAnsi="FrankRuehl" w:cs="FrankRuehl"/>
          <w:noProof w:val="0"/>
          <w:sz w:val="28"/>
          <w:szCs w:val="28"/>
          <w:rtl/>
        </w:rPr>
      </w:pPr>
      <w:r>
        <w:rPr>
          <w:rFonts w:ascii="FrankRuehl" w:hAnsi="FrankRuehl" w:cs="FrankRuehl"/>
          <w:noProof w:val="0"/>
          <w:sz w:val="28"/>
          <w:szCs w:val="28"/>
          <w:rtl/>
        </w:rPr>
        <w:t>4.</w:t>
      </w:r>
      <w:r>
        <w:rPr>
          <w:rFonts w:ascii="FrankRuehl" w:hAnsi="FrankRuehl" w:cs="FrankRuehl"/>
          <w:noProof w:val="0"/>
          <w:sz w:val="28"/>
          <w:szCs w:val="28"/>
          <w:rtl/>
        </w:rPr>
        <w:tab/>
        <w:t xml:space="preserve">בהחלטתו מצא בית משפט קמא לדחות את טענות המשיבה כי לעוררת לא קמה זכות השגה על הוצאת צווי חיפוש, בהתאם לאמור בדנ"פ </w:t>
      </w:r>
      <w:r>
        <w:rPr>
          <w:rFonts w:ascii="Miriam" w:hAnsi="Miriam" w:cs="Miriam"/>
          <w:noProof w:val="0"/>
          <w:rtl/>
        </w:rPr>
        <w:t>אוריך</w:t>
      </w:r>
      <w:r>
        <w:rPr>
          <w:rFonts w:ascii="FrankRuehl" w:hAnsi="FrankRuehl" w:cs="FrankRuehl"/>
          <w:noProof w:val="0"/>
          <w:sz w:val="28"/>
          <w:szCs w:val="28"/>
          <w:rtl/>
        </w:rPr>
        <w:t>, שכפי שנראה בהמשך, על אף שעסק בצווים שהוצאו בנוגע לחיפוש בחומרי מחשב, העקרונות שנקבעו בו חלים גם לגבי צווים "רגילים". כפי שציין בית משפט קמא, צמצום אפשרות הגישה לבית המשפט לצורך סיכול ביצוע צו החיפוש, זהו הכלל, שמטרתו "שמירה על מהירות החקירה ויעילותה; החשש מפני פעולות שיבוש; והאפשרות להעלות השגות על הצו במסגרת ההליך העיקרי" (</w:t>
      </w:r>
      <w:r w:rsidR="00F04DBF">
        <w:rPr>
          <w:rFonts w:ascii="FrankRuehl" w:hAnsi="FrankRuehl" w:cs="FrankRuehl" w:hint="cs"/>
          <w:noProof w:val="0"/>
          <w:sz w:val="28"/>
          <w:szCs w:val="28"/>
          <w:rtl/>
        </w:rPr>
        <w:t xml:space="preserve">דנ"פ </w:t>
      </w:r>
      <w:r w:rsidR="00F04DBF" w:rsidRPr="0055743F">
        <w:rPr>
          <w:rFonts w:ascii="Miriam" w:hAnsi="Miriam" w:cs="Miriam" w:hint="cs"/>
          <w:noProof w:val="0"/>
          <w:rtl/>
        </w:rPr>
        <w:t>אוריך</w:t>
      </w:r>
      <w:r w:rsidR="00F04DBF">
        <w:rPr>
          <w:rFonts w:ascii="FrankRuehl" w:hAnsi="FrankRuehl" w:cs="FrankRuehl" w:hint="cs"/>
          <w:noProof w:val="0"/>
          <w:sz w:val="28"/>
          <w:szCs w:val="28"/>
          <w:rtl/>
        </w:rPr>
        <w:t xml:space="preserve">, </w:t>
      </w:r>
      <w:r>
        <w:rPr>
          <w:rFonts w:ascii="FrankRuehl" w:hAnsi="FrankRuehl" w:cs="FrankRuehl"/>
          <w:noProof w:val="0"/>
          <w:sz w:val="28"/>
          <w:szCs w:val="28"/>
          <w:rtl/>
        </w:rPr>
        <w:t xml:space="preserve">פסקה 83 להחלטת הנשיאה </w:t>
      </w:r>
      <w:r>
        <w:rPr>
          <w:rFonts w:ascii="Miriam" w:hAnsi="Miriam" w:cs="Miriam"/>
          <w:noProof w:val="0"/>
          <w:rtl/>
        </w:rPr>
        <w:t>א' חיות</w:t>
      </w:r>
      <w:r>
        <w:rPr>
          <w:rFonts w:ascii="FrankRuehl" w:hAnsi="FrankRuehl" w:cs="FrankRuehl"/>
          <w:noProof w:val="0"/>
          <w:sz w:val="28"/>
          <w:szCs w:val="28"/>
          <w:rtl/>
        </w:rPr>
        <w:t xml:space="preserve">. ההפניות מדנ"פ </w:t>
      </w:r>
      <w:r>
        <w:rPr>
          <w:rFonts w:ascii="Miriam" w:hAnsi="Miriam" w:cs="Miriam"/>
          <w:noProof w:val="0"/>
          <w:rtl/>
        </w:rPr>
        <w:t>אוריך</w:t>
      </w:r>
      <w:r>
        <w:rPr>
          <w:rFonts w:ascii="FrankRuehl" w:hAnsi="FrankRuehl" w:cs="FrankRuehl"/>
          <w:noProof w:val="0"/>
          <w:sz w:val="28"/>
          <w:szCs w:val="28"/>
          <w:rtl/>
        </w:rPr>
        <w:t xml:space="preserve"> שיובאו להלן יתייחסו אף הן לפסק דינה של הנשיאה, המייצג את דעת הרוב).</w:t>
      </w:r>
    </w:p>
    <w:p w:rsidR="001D5951" w:rsidRDefault="001D5951" w:rsidP="001D5951">
      <w:pPr>
        <w:rPr>
          <w:rFonts w:ascii="FrankRuehl" w:hAnsi="FrankRuehl" w:cs="FrankRuehl"/>
          <w:noProof w:val="0"/>
          <w:sz w:val="28"/>
          <w:szCs w:val="28"/>
          <w:rtl/>
        </w:rPr>
      </w:pPr>
    </w:p>
    <w:p w:rsidR="001D5951" w:rsidRDefault="001D5951" w:rsidP="001D5951">
      <w:pPr>
        <w:spacing w:line="360" w:lineRule="auto"/>
        <w:jc w:val="both"/>
        <w:rPr>
          <w:rFonts w:ascii="FrankRuehl" w:hAnsi="FrankRuehl" w:cs="FrankRuehl"/>
          <w:noProof w:val="0"/>
          <w:sz w:val="28"/>
          <w:szCs w:val="28"/>
          <w:rtl/>
        </w:rPr>
      </w:pPr>
      <w:r>
        <w:rPr>
          <w:rFonts w:ascii="FrankRuehl" w:hAnsi="FrankRuehl" w:cs="FrankRuehl"/>
          <w:noProof w:val="0"/>
          <w:sz w:val="28"/>
          <w:szCs w:val="28"/>
          <w:rtl/>
        </w:rPr>
        <w:lastRenderedPageBreak/>
        <w:tab/>
        <w:t xml:space="preserve">ואולם, לצד הכלל לפיו הדיון בהוצאת הצווים יתקיים במעמד צד אחד, הותיר בית המשפט העליון פתח צר ביותר לקיום דיון במעמד שני הצדדים, זאת במקרים שהוגדרו "חריגים וייחודיים". וכך נקבע בפסקה 78 לדנ"פ </w:t>
      </w:r>
      <w:r>
        <w:rPr>
          <w:rFonts w:ascii="Miriam" w:hAnsi="Miriam" w:cs="Miriam"/>
          <w:noProof w:val="0"/>
          <w:rtl/>
        </w:rPr>
        <w:t>אוריך</w:t>
      </w:r>
      <w:r>
        <w:rPr>
          <w:rFonts w:ascii="FrankRuehl" w:hAnsi="FrankRuehl" w:cs="FrankRuehl"/>
          <w:noProof w:val="0"/>
          <w:sz w:val="28"/>
          <w:szCs w:val="28"/>
          <w:rtl/>
        </w:rPr>
        <w:t>:</w:t>
      </w:r>
    </w:p>
    <w:p w:rsidR="001D5951" w:rsidRDefault="001D5951" w:rsidP="00201F10">
      <w:pPr>
        <w:pStyle w:val="Ruller40"/>
        <w:spacing w:line="240" w:lineRule="auto"/>
        <w:rPr>
          <w:rFonts w:ascii="FrankRuehl" w:hAnsi="FrankRuehl"/>
          <w:spacing w:val="0"/>
          <w:sz w:val="28"/>
          <w:rtl/>
        </w:rPr>
      </w:pPr>
    </w:p>
    <w:p w:rsidR="001D5951" w:rsidRDefault="001D5951" w:rsidP="001D5951">
      <w:pPr>
        <w:spacing w:line="360" w:lineRule="auto"/>
        <w:ind w:left="720" w:right="567"/>
        <w:jc w:val="both"/>
        <w:rPr>
          <w:rFonts w:ascii="FrankRuehl" w:hAnsi="FrankRuehl" w:cs="FrankRuehl"/>
          <w:noProof w:val="0"/>
          <w:sz w:val="28"/>
          <w:szCs w:val="28"/>
          <w:rtl/>
        </w:rPr>
      </w:pPr>
      <w:r>
        <w:rPr>
          <w:rFonts w:ascii="FrankRuehl" w:hAnsi="FrankRuehl" w:cs="FrankRuehl"/>
          <w:noProof w:val="0"/>
          <w:sz w:val="28"/>
          <w:szCs w:val="28"/>
          <w:rtl/>
        </w:rPr>
        <w:t xml:space="preserve">"לפיכך, ואף שנוכח התכליות של שלב החקירה שעליהן עמדתי לעיל, ברוב המכריע של המקרים יתקיים הדיון במעמד צד אחד, אני סבורה כי אין מקום לשלול באופן גורף את האפשרות שבית המשפט יקיים במקרים מסוימים דיון במעמד הצדדים בבקשות לצווי חיפוש בחומר מחשב (בין מיד לאחר הגשת הבקשה, ובין לאחר שהתקיים תחילה דיון במעמד צד אחד). ואולם, את הפעלתה של סמכות זו יש לייחד למקרים חריגים ונדירים בלבד, שבהם סבור השופט הדן בבקשה כי נסיבותיו המיוחדות של המקרה </w:t>
      </w:r>
      <w:r>
        <w:rPr>
          <w:rFonts w:ascii="Miriam" w:hAnsi="Miriam" w:cs="Miriam"/>
          <w:noProof w:val="0"/>
          <w:rtl/>
        </w:rPr>
        <w:t>מחייבות</w:t>
      </w:r>
      <w:r>
        <w:rPr>
          <w:rFonts w:ascii="FrankRuehl" w:hAnsi="FrankRuehl" w:cs="FrankRuehl"/>
          <w:noProof w:val="0"/>
          <w:sz w:val="28"/>
          <w:szCs w:val="28"/>
          <w:rtl/>
        </w:rPr>
        <w:t xml:space="preserve"> לשמוע את עמדת בעל המחשב או צד אחר, לצורך קבלת ההחלטה השיפוטית" (ההדגשה במקור – ע' מ').</w:t>
      </w:r>
    </w:p>
    <w:p w:rsidR="001D5951" w:rsidRDefault="001D5951" w:rsidP="00201F10">
      <w:pPr>
        <w:spacing w:line="360" w:lineRule="auto"/>
        <w:rPr>
          <w:rFonts w:ascii="FrankRuehl" w:hAnsi="FrankRuehl" w:cs="FrankRuehl"/>
          <w:noProof w:val="0"/>
          <w:sz w:val="28"/>
          <w:szCs w:val="28"/>
          <w:rtl/>
        </w:rPr>
      </w:pPr>
    </w:p>
    <w:p w:rsidR="001D5951" w:rsidRDefault="001D5951" w:rsidP="001D5951">
      <w:pPr>
        <w:spacing w:line="360" w:lineRule="auto"/>
        <w:ind w:firstLine="720"/>
        <w:jc w:val="both"/>
        <w:rPr>
          <w:rFonts w:ascii="FrankRuehl" w:hAnsi="FrankRuehl" w:cs="FrankRuehl"/>
          <w:noProof w:val="0"/>
          <w:sz w:val="28"/>
          <w:szCs w:val="28"/>
        </w:rPr>
      </w:pPr>
      <w:r>
        <w:rPr>
          <w:rFonts w:ascii="FrankRuehl" w:hAnsi="FrankRuehl" w:cs="FrankRuehl"/>
          <w:noProof w:val="0"/>
          <w:sz w:val="28"/>
          <w:szCs w:val="28"/>
          <w:rtl/>
        </w:rPr>
        <w:t xml:space="preserve">אחת הדוגמאות שצוינו בפסק דינה של הנשיאה </w:t>
      </w:r>
      <w:r>
        <w:rPr>
          <w:rFonts w:ascii="Miriam" w:hAnsi="Miriam" w:cs="Miriam"/>
          <w:noProof w:val="0"/>
          <w:rtl/>
        </w:rPr>
        <w:t>חיות</w:t>
      </w:r>
      <w:r>
        <w:rPr>
          <w:rFonts w:ascii="FrankRuehl" w:hAnsi="FrankRuehl" w:cs="FrankRuehl"/>
          <w:noProof w:val="0"/>
          <w:sz w:val="28"/>
          <w:szCs w:val="28"/>
          <w:rtl/>
        </w:rPr>
        <w:t xml:space="preserve"> שיכול ויצדיקו קיום דיון במעמד הצדדים, היא "...תרחיש שבו רשות חוקרת מבקשת לבצע חיפוש במחשבו של בעל מקצוע הנהנה מחיסיון על פי דין (למשל, עורך דין או עיתונאי), ונמצא כי נוכחותו של אותו בעל מקצוע היא </w:t>
      </w:r>
      <w:r>
        <w:rPr>
          <w:rFonts w:ascii="Miriam" w:hAnsi="Miriam" w:cs="Miriam"/>
          <w:noProof w:val="0"/>
          <w:rtl/>
        </w:rPr>
        <w:t>הכרחית</w:t>
      </w:r>
      <w:r>
        <w:rPr>
          <w:rFonts w:ascii="FrankRuehl" w:hAnsi="FrankRuehl" w:cs="FrankRuehl"/>
          <w:noProof w:val="0"/>
          <w:sz w:val="28"/>
          <w:szCs w:val="28"/>
          <w:rtl/>
        </w:rPr>
        <w:t xml:space="preserve"> על מנת לבחון אם קיימת הצדקה למתן הצו או אם יש צורך בתנאים מקדימים כלשהם לחיפוש" (ההדגשה במקור – ע' מ').</w:t>
      </w:r>
    </w:p>
    <w:p w:rsidR="001D5951" w:rsidRDefault="001D5951" w:rsidP="001D5951">
      <w:pPr>
        <w:rPr>
          <w:rFonts w:ascii="FrankRuehl" w:hAnsi="FrankRuehl" w:cs="FrankRuehl"/>
          <w:noProof w:val="0"/>
          <w:sz w:val="28"/>
          <w:szCs w:val="28"/>
          <w:rtl/>
        </w:rPr>
      </w:pPr>
    </w:p>
    <w:p w:rsidR="001D5951" w:rsidRDefault="001D5951" w:rsidP="001D5951">
      <w:pPr>
        <w:spacing w:line="360" w:lineRule="auto"/>
        <w:ind w:firstLine="720"/>
        <w:jc w:val="both"/>
        <w:rPr>
          <w:rFonts w:ascii="FrankRuehl" w:hAnsi="FrankRuehl" w:cs="FrankRuehl"/>
          <w:noProof w:val="0"/>
          <w:sz w:val="28"/>
          <w:szCs w:val="28"/>
          <w:rtl/>
        </w:rPr>
      </w:pPr>
      <w:r>
        <w:rPr>
          <w:rFonts w:ascii="FrankRuehl" w:hAnsi="FrankRuehl" w:cs="FrankRuehl"/>
          <w:noProof w:val="0"/>
          <w:sz w:val="28"/>
          <w:szCs w:val="28"/>
          <w:rtl/>
        </w:rPr>
        <w:t xml:space="preserve">כפי שציין בית משפט קמא בהחלטתו, הסוגיה שעל הפרק היא סוגיה ייחודית לנוכח טענות העוררת לקיומה של חסינות, קל וחומר כאשר מדובר בטענה שכמעט ולא נדונה בפסיקה, ולכל הפחות היה מקום לשמוע את טענותיה, כשם שהדבר מתאפשר במקרים החריגים עליהם עמד בית המשפט העליון בעניין </w:t>
      </w:r>
      <w:r>
        <w:rPr>
          <w:rFonts w:ascii="Miriam" w:hAnsi="Miriam" w:cs="Miriam"/>
          <w:noProof w:val="0"/>
          <w:rtl/>
        </w:rPr>
        <w:t>אוריך</w:t>
      </w:r>
      <w:r>
        <w:rPr>
          <w:rFonts w:ascii="FrankRuehl" w:hAnsi="FrankRuehl" w:cs="FrankRuehl"/>
          <w:noProof w:val="0"/>
          <w:sz w:val="28"/>
          <w:szCs w:val="28"/>
          <w:rtl/>
        </w:rPr>
        <w:t>. בפרט יפים הדברים כאשר הדיון התקיים בשלב שלאחר מימוש הצו ותפיסת המסמכים וטרם העיון בהם.</w:t>
      </w:r>
    </w:p>
    <w:p w:rsidR="001D5951" w:rsidRDefault="001D5951" w:rsidP="001D5951">
      <w:pPr>
        <w:rPr>
          <w:rFonts w:ascii="FrankRuehl" w:hAnsi="FrankRuehl" w:cs="FrankRuehl"/>
          <w:noProof w:val="0"/>
          <w:sz w:val="28"/>
          <w:szCs w:val="28"/>
          <w:rtl/>
        </w:rPr>
      </w:pPr>
    </w:p>
    <w:p w:rsidR="001D5951" w:rsidRDefault="001D5951" w:rsidP="001D5951">
      <w:pPr>
        <w:spacing w:line="360" w:lineRule="auto"/>
        <w:ind w:firstLine="720"/>
        <w:jc w:val="both"/>
        <w:rPr>
          <w:rFonts w:ascii="FrankRuehl" w:hAnsi="FrankRuehl" w:cs="FrankRuehl"/>
          <w:noProof w:val="0"/>
          <w:sz w:val="28"/>
          <w:szCs w:val="28"/>
          <w:rtl/>
        </w:rPr>
      </w:pPr>
      <w:r>
        <w:rPr>
          <w:rFonts w:ascii="FrankRuehl" w:hAnsi="FrankRuehl" w:cs="FrankRuehl"/>
          <w:noProof w:val="0"/>
          <w:sz w:val="28"/>
          <w:szCs w:val="28"/>
          <w:rtl/>
        </w:rPr>
        <w:t>לפיכך, מצאתי שצדק בית משפט קמא בהחלטתו לקיים דיון בבקשת העוררת.</w:t>
      </w:r>
    </w:p>
    <w:p w:rsidR="001D5951" w:rsidRDefault="001D5951" w:rsidP="001D5951">
      <w:pPr>
        <w:rPr>
          <w:rFonts w:ascii="FrankRuehl" w:hAnsi="FrankRuehl" w:cs="FrankRuehl"/>
          <w:noProof w:val="0"/>
          <w:sz w:val="28"/>
          <w:szCs w:val="28"/>
          <w:rtl/>
        </w:rPr>
      </w:pPr>
    </w:p>
    <w:p w:rsidR="001D5951" w:rsidRDefault="001D5951" w:rsidP="001D5951">
      <w:pPr>
        <w:rPr>
          <w:rFonts w:ascii="FrankRuehl" w:hAnsi="FrankRuehl" w:cs="FrankRuehl"/>
          <w:b/>
          <w:bCs/>
          <w:noProof w:val="0"/>
          <w:sz w:val="28"/>
          <w:szCs w:val="28"/>
          <w:rtl/>
        </w:rPr>
      </w:pPr>
      <w:r>
        <w:rPr>
          <w:rFonts w:ascii="FrankRuehl" w:hAnsi="FrankRuehl" w:cs="FrankRuehl"/>
          <w:b/>
          <w:bCs/>
          <w:noProof w:val="0"/>
          <w:sz w:val="28"/>
          <w:szCs w:val="28"/>
          <w:rtl/>
        </w:rPr>
        <w:t xml:space="preserve">האם קיימת זכות השגה על החלטת בית משפט קמא </w:t>
      </w:r>
    </w:p>
    <w:p w:rsidR="001D5951" w:rsidRDefault="001D5951" w:rsidP="001D5951">
      <w:pPr>
        <w:rPr>
          <w:rFonts w:ascii="FrankRuehl" w:hAnsi="FrankRuehl" w:cs="FrankRuehl"/>
          <w:noProof w:val="0"/>
          <w:sz w:val="28"/>
          <w:szCs w:val="28"/>
          <w:rtl/>
        </w:rPr>
      </w:pPr>
    </w:p>
    <w:p w:rsidR="001D5951" w:rsidRDefault="001D5951" w:rsidP="00F21F4B">
      <w:pPr>
        <w:spacing w:line="360" w:lineRule="auto"/>
        <w:jc w:val="both"/>
        <w:rPr>
          <w:rFonts w:ascii="FrankRuehl" w:hAnsi="FrankRuehl" w:cs="FrankRuehl"/>
          <w:noProof w:val="0"/>
          <w:sz w:val="28"/>
          <w:szCs w:val="28"/>
          <w:rtl/>
        </w:rPr>
      </w:pPr>
      <w:r>
        <w:rPr>
          <w:rFonts w:ascii="FrankRuehl" w:hAnsi="FrankRuehl" w:cs="FrankRuehl"/>
          <w:noProof w:val="0"/>
          <w:sz w:val="28"/>
          <w:szCs w:val="28"/>
          <w:rtl/>
        </w:rPr>
        <w:t>5.</w:t>
      </w:r>
      <w:r>
        <w:rPr>
          <w:rFonts w:ascii="FrankRuehl" w:hAnsi="FrankRuehl" w:cs="FrankRuehl"/>
          <w:noProof w:val="0"/>
          <w:sz w:val="28"/>
          <w:szCs w:val="28"/>
          <w:rtl/>
        </w:rPr>
        <w:tab/>
        <w:t>משמצאתי שהחלטת בית משפט קמא ניתנה בהתאם להוראות הדין הקי</w:t>
      </w:r>
      <w:r w:rsidR="00F21F4B">
        <w:rPr>
          <w:rFonts w:ascii="FrankRuehl" w:hAnsi="FrankRuehl" w:cs="FrankRuehl"/>
          <w:noProof w:val="0"/>
          <w:sz w:val="28"/>
          <w:szCs w:val="28"/>
          <w:rtl/>
        </w:rPr>
        <w:t>ים, מתחדדת השאלה שבמחלוקת, והיא</w:t>
      </w:r>
      <w:r w:rsidR="00F21F4B">
        <w:rPr>
          <w:rFonts w:ascii="FrankRuehl" w:hAnsi="FrankRuehl" w:cs="FrankRuehl" w:hint="cs"/>
          <w:noProof w:val="0"/>
          <w:sz w:val="28"/>
          <w:szCs w:val="28"/>
          <w:rtl/>
        </w:rPr>
        <w:t xml:space="preserve"> </w:t>
      </w:r>
      <w:r w:rsidR="00F21F4B">
        <w:rPr>
          <w:rFonts w:ascii="FrankRuehl" w:hAnsi="FrankRuehl" w:cs="FrankRuehl"/>
          <w:noProof w:val="0"/>
          <w:sz w:val="28"/>
          <w:szCs w:val="28"/>
          <w:rtl/>
        </w:rPr>
        <w:t>–</w:t>
      </w:r>
      <w:r w:rsidR="00F21F4B">
        <w:rPr>
          <w:rFonts w:ascii="FrankRuehl" w:hAnsi="FrankRuehl" w:cs="FrankRuehl" w:hint="cs"/>
          <w:noProof w:val="0"/>
          <w:sz w:val="28"/>
          <w:szCs w:val="28"/>
          <w:rtl/>
        </w:rPr>
        <w:t xml:space="preserve"> </w:t>
      </w:r>
      <w:r>
        <w:rPr>
          <w:rFonts w:ascii="FrankRuehl" w:hAnsi="FrankRuehl" w:cs="FrankRuehl"/>
          <w:noProof w:val="0"/>
          <w:sz w:val="28"/>
          <w:szCs w:val="28"/>
          <w:rtl/>
        </w:rPr>
        <w:t xml:space="preserve">האם יש לעוררת זכות השגה על החלטה זו. כפי שנראה להלן, </w:t>
      </w:r>
      <w:r>
        <w:rPr>
          <w:rFonts w:ascii="FrankRuehl" w:hAnsi="FrankRuehl" w:cs="FrankRuehl"/>
          <w:noProof w:val="0"/>
          <w:sz w:val="28"/>
          <w:szCs w:val="28"/>
          <w:rtl/>
        </w:rPr>
        <w:lastRenderedPageBreak/>
        <w:t>התשובה לשאלה זו אינה פשוטה כלל ועיקר, ובמצב המשפטי בו נדונה הבקשה, דומה שלא זכתה עד כה להתייחסות בפסיקה.</w:t>
      </w:r>
    </w:p>
    <w:p w:rsidR="001D5951" w:rsidRDefault="001D5951" w:rsidP="001D5951">
      <w:pPr>
        <w:rPr>
          <w:rFonts w:ascii="FrankRuehl" w:hAnsi="FrankRuehl" w:cs="FrankRuehl"/>
          <w:noProof w:val="0"/>
          <w:sz w:val="28"/>
          <w:szCs w:val="28"/>
          <w:rtl/>
        </w:rPr>
      </w:pPr>
    </w:p>
    <w:p w:rsidR="001D5951" w:rsidRDefault="001D5951" w:rsidP="00E57BCB">
      <w:pPr>
        <w:spacing w:line="360" w:lineRule="auto"/>
        <w:jc w:val="both"/>
        <w:rPr>
          <w:rFonts w:ascii="FrankRuehl" w:hAnsi="FrankRuehl" w:cs="FrankRuehl"/>
          <w:noProof w:val="0"/>
          <w:sz w:val="28"/>
          <w:szCs w:val="28"/>
          <w:rtl/>
        </w:rPr>
      </w:pPr>
      <w:r>
        <w:rPr>
          <w:rFonts w:ascii="FrankRuehl" w:hAnsi="FrankRuehl" w:cs="FrankRuehl"/>
          <w:noProof w:val="0"/>
          <w:sz w:val="28"/>
          <w:szCs w:val="28"/>
          <w:rtl/>
        </w:rPr>
        <w:t>6.</w:t>
      </w:r>
      <w:r>
        <w:rPr>
          <w:rFonts w:ascii="FrankRuehl" w:hAnsi="FrankRuehl" w:cs="FrankRuehl"/>
          <w:noProof w:val="0"/>
          <w:sz w:val="28"/>
          <w:szCs w:val="28"/>
          <w:rtl/>
        </w:rPr>
        <w:tab/>
        <w:t>ט</w:t>
      </w:r>
      <w:r w:rsidR="00E57BCB">
        <w:rPr>
          <w:rFonts w:ascii="FrankRuehl" w:hAnsi="FrankRuehl" w:cs="FrankRuehl" w:hint="cs"/>
          <w:noProof w:val="0"/>
          <w:sz w:val="28"/>
          <w:szCs w:val="28"/>
          <w:rtl/>
        </w:rPr>
        <w:t>ר</w:t>
      </w:r>
      <w:r>
        <w:rPr>
          <w:rFonts w:ascii="FrankRuehl" w:hAnsi="FrankRuehl" w:cs="FrankRuehl"/>
          <w:noProof w:val="0"/>
          <w:sz w:val="28"/>
          <w:szCs w:val="28"/>
          <w:rtl/>
        </w:rPr>
        <w:t>ם שאדרש לפן המשפטי, ונ</w:t>
      </w:r>
      <w:r w:rsidR="00E57BCB">
        <w:rPr>
          <w:rFonts w:ascii="FrankRuehl" w:hAnsi="FrankRuehl" w:cs="FrankRuehl"/>
          <w:noProof w:val="0"/>
          <w:sz w:val="28"/>
          <w:szCs w:val="28"/>
          <w:rtl/>
        </w:rPr>
        <w:t xml:space="preserve">וכח חשיבות הדברים להבנת הסוגיה </w:t>
      </w:r>
      <w:r w:rsidR="00E57BCB">
        <w:rPr>
          <w:rFonts w:ascii="FrankRuehl" w:hAnsi="FrankRuehl" w:cs="FrankRuehl" w:hint="cs"/>
          <w:noProof w:val="0"/>
          <w:sz w:val="28"/>
          <w:szCs w:val="28"/>
          <w:rtl/>
        </w:rPr>
        <w:t>על רקע ה</w:t>
      </w:r>
      <w:r>
        <w:rPr>
          <w:rFonts w:ascii="FrankRuehl" w:hAnsi="FrankRuehl" w:cs="FrankRuehl"/>
          <w:noProof w:val="0"/>
          <w:sz w:val="28"/>
          <w:szCs w:val="28"/>
          <w:rtl/>
        </w:rPr>
        <w:t>שלב המשפטי בו אנו מצויים, אביא להלן את תמצית השתלשלות העניינים במסגרת ההליך שהתנהל לפניי.</w:t>
      </w:r>
    </w:p>
    <w:p w:rsidR="001D5951" w:rsidRDefault="001D5951" w:rsidP="001D5951">
      <w:pPr>
        <w:rPr>
          <w:rFonts w:ascii="FrankRuehl" w:hAnsi="FrankRuehl" w:cs="FrankRuehl"/>
          <w:noProof w:val="0"/>
          <w:sz w:val="28"/>
          <w:szCs w:val="28"/>
          <w:rtl/>
        </w:rPr>
      </w:pPr>
    </w:p>
    <w:p w:rsidR="001D5951" w:rsidRDefault="001D5951" w:rsidP="001D5951">
      <w:pPr>
        <w:spacing w:line="360" w:lineRule="auto"/>
        <w:jc w:val="both"/>
        <w:rPr>
          <w:rFonts w:ascii="FrankRuehl" w:hAnsi="FrankRuehl" w:cs="FrankRuehl"/>
          <w:noProof w:val="0"/>
          <w:sz w:val="28"/>
          <w:szCs w:val="28"/>
          <w:rtl/>
        </w:rPr>
      </w:pPr>
      <w:r>
        <w:rPr>
          <w:rFonts w:ascii="FrankRuehl" w:hAnsi="FrankRuehl" w:cs="FrankRuehl"/>
          <w:noProof w:val="0"/>
          <w:sz w:val="28"/>
          <w:szCs w:val="28"/>
          <w:rtl/>
        </w:rPr>
        <w:tab/>
        <w:t xml:space="preserve">בפתח הודעת הערר נכתב כי הוא מוגש "על החלטת בית משפט קמא... במסגרתה בית המשפט קמא </w:t>
      </w:r>
      <w:r>
        <w:rPr>
          <w:rFonts w:ascii="Miriam" w:hAnsi="Miriam" w:cs="Miriam"/>
          <w:noProof w:val="0"/>
          <w:rtl/>
        </w:rPr>
        <w:t>התיר למשיבה לתפוס מסמכים וחפצים</w:t>
      </w:r>
      <w:r>
        <w:rPr>
          <w:rFonts w:ascii="FrankRuehl" w:hAnsi="FrankRuehl" w:cs="FrankRuehl"/>
          <w:noProof w:val="0"/>
          <w:sz w:val="28"/>
          <w:szCs w:val="28"/>
          <w:rtl/>
        </w:rPr>
        <w:t xml:space="preserve"> של העוררת בניגוד לסעיף 2 לחוק [החסינות]..." (ההדגשה הוספה – ע'</w:t>
      </w:r>
      <w:r w:rsidR="00327A7C">
        <w:rPr>
          <w:rFonts w:ascii="FrankRuehl" w:hAnsi="FrankRuehl" w:cs="FrankRuehl" w:hint="cs"/>
          <w:noProof w:val="0"/>
          <w:sz w:val="28"/>
          <w:szCs w:val="28"/>
          <w:rtl/>
        </w:rPr>
        <w:t xml:space="preserve"> </w:t>
      </w:r>
      <w:r>
        <w:rPr>
          <w:rFonts w:ascii="FrankRuehl" w:hAnsi="FrankRuehl" w:cs="FrankRuehl"/>
          <w:noProof w:val="0"/>
          <w:sz w:val="28"/>
          <w:szCs w:val="28"/>
          <w:rtl/>
        </w:rPr>
        <w:t>מ').</w:t>
      </w:r>
    </w:p>
    <w:p w:rsidR="001D5951" w:rsidRDefault="001D5951" w:rsidP="001D5951">
      <w:pPr>
        <w:rPr>
          <w:rFonts w:ascii="FrankRuehl" w:hAnsi="FrankRuehl" w:cs="FrankRuehl"/>
          <w:noProof w:val="0"/>
          <w:sz w:val="28"/>
          <w:szCs w:val="28"/>
          <w:rtl/>
        </w:rPr>
      </w:pPr>
    </w:p>
    <w:p w:rsidR="001D5951" w:rsidRDefault="001D5951" w:rsidP="00867142">
      <w:pPr>
        <w:spacing w:line="360" w:lineRule="auto"/>
        <w:ind w:firstLine="720"/>
        <w:jc w:val="both"/>
        <w:rPr>
          <w:rFonts w:ascii="FrankRuehl" w:hAnsi="FrankRuehl" w:cs="FrankRuehl"/>
          <w:noProof w:val="0"/>
          <w:sz w:val="28"/>
          <w:szCs w:val="28"/>
          <w:rtl/>
        </w:rPr>
      </w:pPr>
      <w:r>
        <w:rPr>
          <w:rFonts w:ascii="FrankRuehl" w:hAnsi="FrankRuehl" w:cs="FrankRuehl"/>
          <w:noProof w:val="0"/>
          <w:sz w:val="28"/>
          <w:szCs w:val="28"/>
          <w:rtl/>
        </w:rPr>
        <w:t xml:space="preserve">במסמך התגובה לערר טענה המשיבה שלעוררת אין זכות השגה על החלטת בית משפט השלום, זאת בהינתן הכללים שנקבעו בדנ"פ </w:t>
      </w:r>
      <w:r>
        <w:rPr>
          <w:rFonts w:ascii="Miriam" w:hAnsi="Miriam" w:cs="Miriam"/>
          <w:noProof w:val="0"/>
          <w:rtl/>
        </w:rPr>
        <w:t>אוריך</w:t>
      </w:r>
      <w:r>
        <w:rPr>
          <w:rFonts w:ascii="FrankRuehl" w:hAnsi="FrankRuehl" w:cs="FrankRuehl"/>
          <w:noProof w:val="0"/>
          <w:sz w:val="28"/>
          <w:szCs w:val="28"/>
          <w:rtl/>
        </w:rPr>
        <w:t xml:space="preserve">, ובפרט כאשר התקיים </w:t>
      </w:r>
      <w:r w:rsidR="00B3743E">
        <w:rPr>
          <w:rFonts w:ascii="FrankRuehl" w:hAnsi="FrankRuehl" w:cs="FrankRuehl" w:hint="cs"/>
          <w:noProof w:val="0"/>
          <w:sz w:val="28"/>
          <w:szCs w:val="28"/>
          <w:rtl/>
        </w:rPr>
        <w:t xml:space="preserve">בפני בית משפט קמא </w:t>
      </w:r>
      <w:r>
        <w:rPr>
          <w:rFonts w:ascii="FrankRuehl" w:hAnsi="FrankRuehl" w:cs="FrankRuehl"/>
          <w:noProof w:val="0"/>
          <w:sz w:val="28"/>
          <w:szCs w:val="28"/>
          <w:rtl/>
        </w:rPr>
        <w:t>דיון חריג במעמד הצדדים</w:t>
      </w:r>
      <w:r w:rsidR="00867142">
        <w:rPr>
          <w:rFonts w:ascii="FrankRuehl" w:hAnsi="FrankRuehl" w:cs="FrankRuehl" w:hint="cs"/>
          <w:noProof w:val="0"/>
          <w:sz w:val="28"/>
          <w:szCs w:val="28"/>
          <w:rtl/>
        </w:rPr>
        <w:t>,</w:t>
      </w:r>
      <w:r>
        <w:rPr>
          <w:rFonts w:ascii="FrankRuehl" w:hAnsi="FrankRuehl" w:cs="FrankRuehl"/>
          <w:noProof w:val="0"/>
          <w:sz w:val="28"/>
          <w:szCs w:val="28"/>
          <w:rtl/>
        </w:rPr>
        <w:t xml:space="preserve"> </w:t>
      </w:r>
      <w:r w:rsidR="00867142">
        <w:rPr>
          <w:rFonts w:ascii="FrankRuehl" w:hAnsi="FrankRuehl" w:cs="FrankRuehl" w:hint="cs"/>
          <w:noProof w:val="0"/>
          <w:sz w:val="28"/>
          <w:szCs w:val="28"/>
          <w:rtl/>
        </w:rPr>
        <w:t xml:space="preserve">באופן השולל את האפשרות לטעון שלא </w:t>
      </w:r>
      <w:r>
        <w:rPr>
          <w:rFonts w:ascii="FrankRuehl" w:hAnsi="FrankRuehl" w:cs="FrankRuehl"/>
          <w:noProof w:val="0"/>
          <w:sz w:val="28"/>
          <w:szCs w:val="28"/>
          <w:rtl/>
        </w:rPr>
        <w:t xml:space="preserve">ניתן לעוררת יומה בבית המשפט. המשיבה נימקה עמדתה זו בעובדה שמדובר בהחלטת ביניים לגביה לא הקנה החוק זכות לערור, לרבות בדרך של בקשה להחזרת תפוס, זאת לנוכח מכלול הנימוקים שפורטו בדנ"פ </w:t>
      </w:r>
      <w:r>
        <w:rPr>
          <w:rFonts w:ascii="Miriam" w:hAnsi="Miriam" w:cs="Miriam"/>
          <w:noProof w:val="0"/>
          <w:rtl/>
        </w:rPr>
        <w:t>אוריך</w:t>
      </w:r>
      <w:r>
        <w:rPr>
          <w:rFonts w:ascii="FrankRuehl" w:hAnsi="FrankRuehl" w:cs="FrankRuehl"/>
          <w:noProof w:val="0"/>
          <w:sz w:val="28"/>
          <w:szCs w:val="28"/>
          <w:rtl/>
        </w:rPr>
        <w:t>.</w:t>
      </w:r>
    </w:p>
    <w:p w:rsidR="001D5951" w:rsidRDefault="001D5951" w:rsidP="001D5951">
      <w:pPr>
        <w:rPr>
          <w:rFonts w:ascii="FrankRuehl" w:hAnsi="FrankRuehl" w:cs="FrankRuehl"/>
          <w:noProof w:val="0"/>
          <w:sz w:val="28"/>
          <w:szCs w:val="28"/>
          <w:rtl/>
        </w:rPr>
      </w:pPr>
    </w:p>
    <w:p w:rsidR="001D5951" w:rsidRDefault="001D5951" w:rsidP="00867142">
      <w:pPr>
        <w:spacing w:line="360" w:lineRule="auto"/>
        <w:jc w:val="both"/>
        <w:rPr>
          <w:rFonts w:ascii="FrankRuehl" w:hAnsi="FrankRuehl" w:cs="FrankRuehl"/>
          <w:noProof w:val="0"/>
          <w:sz w:val="28"/>
          <w:szCs w:val="28"/>
          <w:rtl/>
        </w:rPr>
      </w:pPr>
      <w:r>
        <w:rPr>
          <w:rFonts w:ascii="FrankRuehl" w:hAnsi="FrankRuehl" w:cs="FrankRuehl"/>
          <w:noProof w:val="0"/>
          <w:sz w:val="28"/>
          <w:szCs w:val="28"/>
          <w:rtl/>
        </w:rPr>
        <w:tab/>
        <w:t xml:space="preserve">בטרם אתייחס להלכה שנקבעה בדנ"פ </w:t>
      </w:r>
      <w:r>
        <w:rPr>
          <w:rFonts w:ascii="Miriam" w:hAnsi="Miriam" w:cs="Miriam"/>
          <w:noProof w:val="0"/>
          <w:rtl/>
        </w:rPr>
        <w:t>אוריך</w:t>
      </w:r>
      <w:r>
        <w:rPr>
          <w:rFonts w:ascii="FrankRuehl" w:hAnsi="FrankRuehl" w:cs="FrankRuehl"/>
          <w:noProof w:val="0"/>
          <w:sz w:val="28"/>
          <w:szCs w:val="28"/>
          <w:rtl/>
        </w:rPr>
        <w:t>, אציין שלנוכח תגובת המדינה וטענתה להעדר סמכות, הגיש</w:t>
      </w:r>
      <w:r w:rsidR="00867142">
        <w:rPr>
          <w:rFonts w:ascii="FrankRuehl" w:hAnsi="FrankRuehl" w:cs="FrankRuehl" w:hint="cs"/>
          <w:noProof w:val="0"/>
          <w:sz w:val="28"/>
          <w:szCs w:val="28"/>
          <w:rtl/>
        </w:rPr>
        <w:t>ו</w:t>
      </w:r>
      <w:r>
        <w:rPr>
          <w:rFonts w:ascii="FrankRuehl" w:hAnsi="FrankRuehl" w:cs="FrankRuehl"/>
          <w:noProof w:val="0"/>
          <w:sz w:val="28"/>
          <w:szCs w:val="28"/>
          <w:rtl/>
        </w:rPr>
        <w:t xml:space="preserve"> ב"כ העוררת תגובה מטעמ</w:t>
      </w:r>
      <w:r w:rsidR="00867142">
        <w:rPr>
          <w:rFonts w:ascii="FrankRuehl" w:hAnsi="FrankRuehl" w:cs="FrankRuehl" w:hint="cs"/>
          <w:noProof w:val="0"/>
          <w:sz w:val="28"/>
          <w:szCs w:val="28"/>
          <w:rtl/>
        </w:rPr>
        <w:t>ם</w:t>
      </w:r>
      <w:r>
        <w:rPr>
          <w:rFonts w:ascii="FrankRuehl" w:hAnsi="FrankRuehl" w:cs="FrankRuehl"/>
          <w:noProof w:val="0"/>
          <w:sz w:val="28"/>
          <w:szCs w:val="28"/>
          <w:rtl/>
        </w:rPr>
        <w:t>, ובה צ</w:t>
      </w:r>
      <w:r w:rsidR="00867142">
        <w:rPr>
          <w:rFonts w:ascii="FrankRuehl" w:hAnsi="FrankRuehl" w:cs="FrankRuehl" w:hint="cs"/>
          <w:noProof w:val="0"/>
          <w:sz w:val="28"/>
          <w:szCs w:val="28"/>
          <w:rtl/>
        </w:rPr>
        <w:t>ו</w:t>
      </w:r>
      <w:r>
        <w:rPr>
          <w:rFonts w:ascii="FrankRuehl" w:hAnsi="FrankRuehl" w:cs="FrankRuehl"/>
          <w:noProof w:val="0"/>
          <w:sz w:val="28"/>
          <w:szCs w:val="28"/>
          <w:rtl/>
        </w:rPr>
        <w:t xml:space="preserve">ין </w:t>
      </w:r>
      <w:r>
        <w:rPr>
          <w:rFonts w:ascii="Miriam" w:hAnsi="Miriam" w:cs="Miriam"/>
          <w:noProof w:val="0"/>
          <w:rtl/>
        </w:rPr>
        <w:t>לראשונה</w:t>
      </w:r>
      <w:r>
        <w:rPr>
          <w:rFonts w:ascii="FrankRuehl" w:hAnsi="FrankRuehl" w:cs="FrankRuehl"/>
          <w:noProof w:val="0"/>
          <w:sz w:val="28"/>
          <w:szCs w:val="28"/>
          <w:rtl/>
        </w:rPr>
        <w:t xml:space="preserve"> כי הערר מוגש בהתאם להוראות סעיפים 34 ו-38א לפקודת החיפוש, כאשר לראיית</w:t>
      </w:r>
      <w:r w:rsidR="00867142">
        <w:rPr>
          <w:rFonts w:ascii="FrankRuehl" w:hAnsi="FrankRuehl" w:cs="FrankRuehl" w:hint="cs"/>
          <w:noProof w:val="0"/>
          <w:sz w:val="28"/>
          <w:szCs w:val="28"/>
          <w:rtl/>
        </w:rPr>
        <w:t>ם</w:t>
      </w:r>
      <w:r>
        <w:rPr>
          <w:rFonts w:ascii="FrankRuehl" w:hAnsi="FrankRuehl" w:cs="FrankRuehl"/>
          <w:noProof w:val="0"/>
          <w:sz w:val="28"/>
          <w:szCs w:val="28"/>
          <w:rtl/>
        </w:rPr>
        <w:t xml:space="preserve"> צו החיפוש כבר בוצע, בעוד שהכללים שנקבעו בדנ"פ </w:t>
      </w:r>
      <w:r>
        <w:rPr>
          <w:rFonts w:ascii="Miriam" w:hAnsi="Miriam" w:cs="Miriam"/>
          <w:noProof w:val="0"/>
          <w:rtl/>
        </w:rPr>
        <w:t>אוריך</w:t>
      </w:r>
      <w:r>
        <w:rPr>
          <w:rFonts w:ascii="FrankRuehl" w:hAnsi="FrankRuehl" w:cs="FrankRuehl"/>
          <w:noProof w:val="0"/>
          <w:sz w:val="28"/>
          <w:szCs w:val="28"/>
          <w:rtl/>
        </w:rPr>
        <w:t xml:space="preserve"> מתייחסים לשלבים הראשוניים בהם הוצאו הצווים ובטרם נתפסו מסמכים וחפצים כלשהם. נטען, שאף החלטת בית משפט קמא לא עסקה בבקשה לבטל את צו החיפוש שניתן, אלא שמדובר היה בהחלטה הנוגעת "לאופן יישומו של צו החיפוש, ובכלל זה ההחלטה שלא להשיב לידי העוררת מסמכים וחפצים  אחרים שנתפסו שלא כדין במסגרת החיפוש שבוצע מכוח צו החיפוש".</w:t>
      </w:r>
    </w:p>
    <w:p w:rsidR="001D5951" w:rsidRDefault="001D5951" w:rsidP="001D5951">
      <w:pPr>
        <w:rPr>
          <w:rFonts w:ascii="FrankRuehl" w:hAnsi="FrankRuehl" w:cs="FrankRuehl"/>
          <w:noProof w:val="0"/>
          <w:sz w:val="28"/>
          <w:szCs w:val="28"/>
          <w:rtl/>
        </w:rPr>
      </w:pPr>
    </w:p>
    <w:p w:rsidR="001D5951" w:rsidRDefault="001D5951" w:rsidP="00296E1E">
      <w:pPr>
        <w:spacing w:line="360" w:lineRule="auto"/>
        <w:jc w:val="both"/>
        <w:rPr>
          <w:rFonts w:ascii="FrankRuehl" w:hAnsi="FrankRuehl" w:cs="FrankRuehl"/>
          <w:noProof w:val="0"/>
          <w:sz w:val="28"/>
          <w:szCs w:val="28"/>
          <w:rtl/>
        </w:rPr>
      </w:pPr>
      <w:r>
        <w:rPr>
          <w:rFonts w:ascii="FrankRuehl" w:hAnsi="FrankRuehl" w:cs="FrankRuehl"/>
          <w:noProof w:val="0"/>
          <w:sz w:val="28"/>
          <w:szCs w:val="28"/>
          <w:rtl/>
        </w:rPr>
        <w:t>7.</w:t>
      </w:r>
      <w:r>
        <w:rPr>
          <w:rFonts w:ascii="FrankRuehl" w:hAnsi="FrankRuehl" w:cs="FrankRuehl"/>
          <w:noProof w:val="0"/>
          <w:sz w:val="28"/>
          <w:szCs w:val="28"/>
          <w:rtl/>
        </w:rPr>
        <w:tab/>
        <w:t>ואכן, ייחודיות המקרה מושא הערר היא, בין היתר, במחלוקת שנפלה בין ב"כ הצדדים בשאלה האם הצו בוצע אם לאו. לתפיסת המשיבה</w:t>
      </w:r>
      <w:r w:rsidR="00182E5D">
        <w:rPr>
          <w:rFonts w:ascii="FrankRuehl" w:hAnsi="FrankRuehl" w:cs="FrankRuehl" w:hint="cs"/>
          <w:noProof w:val="0"/>
          <w:sz w:val="28"/>
          <w:szCs w:val="28"/>
          <w:rtl/>
        </w:rPr>
        <w:t>,</w:t>
      </w:r>
      <w:r>
        <w:rPr>
          <w:rFonts w:ascii="FrankRuehl" w:hAnsi="FrankRuehl" w:cs="FrankRuehl"/>
          <w:noProof w:val="0"/>
          <w:sz w:val="28"/>
          <w:szCs w:val="28"/>
          <w:rtl/>
        </w:rPr>
        <w:t xml:space="preserve"> המסמכים טרם הועברו לידיה, וממילא לא ניתנה לה אפשרות להשתמש בתוצרי הצו לצורך ביסוס וקידום החקירה, כך שלא ניתן לראות בצו ככזה שמומש, בוודאי שלא באופן מלא. מנגד, לגישת ב"כ העוררת, הצו בוצע במובן זה </w:t>
      </w:r>
      <w:r>
        <w:rPr>
          <w:rFonts w:ascii="FrankRuehl" w:hAnsi="FrankRuehl" w:cs="FrankRuehl"/>
          <w:noProof w:val="0"/>
          <w:sz w:val="28"/>
          <w:szCs w:val="28"/>
          <w:rtl/>
        </w:rPr>
        <w:lastRenderedPageBreak/>
        <w:t>שהמסמכים נתפסו ואינם נמצאים עוד בחזקת מי שהחזיק אותם. לנוכח טיעון זה</w:t>
      </w:r>
      <w:r w:rsidR="00867142">
        <w:rPr>
          <w:rFonts w:ascii="FrankRuehl" w:hAnsi="FrankRuehl" w:cs="FrankRuehl" w:hint="cs"/>
          <w:noProof w:val="0"/>
          <w:sz w:val="28"/>
          <w:szCs w:val="28"/>
          <w:rtl/>
        </w:rPr>
        <w:t>,</w:t>
      </w:r>
      <w:r>
        <w:rPr>
          <w:rFonts w:ascii="FrankRuehl" w:hAnsi="FrankRuehl" w:cs="FrankRuehl"/>
          <w:noProof w:val="0"/>
          <w:sz w:val="28"/>
          <w:szCs w:val="28"/>
          <w:rtl/>
        </w:rPr>
        <w:t xml:space="preserve"> קצרה הדרך של ב"כ העוררת להסתמך על סעיף 38א לפסד"פ, המקנה זכות ערר על החלטת תפיסה שניתנה מכוח סעיף 34 לפסד"פ. לצד האמור, אשוב וא</w:t>
      </w:r>
      <w:r w:rsidR="00296E1E">
        <w:rPr>
          <w:rFonts w:ascii="FrankRuehl" w:hAnsi="FrankRuehl" w:cs="FrankRuehl" w:hint="cs"/>
          <w:noProof w:val="0"/>
          <w:sz w:val="28"/>
          <w:szCs w:val="28"/>
          <w:rtl/>
        </w:rPr>
        <w:t>פנה לכך</w:t>
      </w:r>
      <w:r>
        <w:rPr>
          <w:rFonts w:ascii="FrankRuehl" w:hAnsi="FrankRuehl" w:cs="FrankRuehl"/>
          <w:noProof w:val="0"/>
          <w:sz w:val="28"/>
          <w:szCs w:val="28"/>
          <w:rtl/>
        </w:rPr>
        <w:t xml:space="preserve"> שבמסגרת הודעת הערר לא הסתמכו ב"כ העוררת כלל על סעיף זה כבסיס משפטי לזכות ההשגה, והוא עלה לראשונה רק בעקבות תגובת המשיבה. </w:t>
      </w:r>
    </w:p>
    <w:p w:rsidR="001D5951" w:rsidRDefault="001D5951" w:rsidP="00296E1E">
      <w:pPr>
        <w:rPr>
          <w:rFonts w:ascii="FrankRuehl" w:hAnsi="FrankRuehl" w:cs="FrankRuehl"/>
          <w:noProof w:val="0"/>
          <w:sz w:val="28"/>
          <w:szCs w:val="28"/>
          <w:rtl/>
        </w:rPr>
      </w:pPr>
    </w:p>
    <w:p w:rsidR="001D5951" w:rsidRDefault="001D5951" w:rsidP="00867142">
      <w:pPr>
        <w:spacing w:line="360" w:lineRule="auto"/>
        <w:jc w:val="both"/>
        <w:rPr>
          <w:rFonts w:ascii="FrankRuehl" w:hAnsi="FrankRuehl" w:cs="FrankRuehl"/>
          <w:noProof w:val="0"/>
          <w:sz w:val="28"/>
          <w:szCs w:val="28"/>
          <w:rtl/>
        </w:rPr>
      </w:pPr>
      <w:r>
        <w:rPr>
          <w:rFonts w:ascii="FrankRuehl" w:hAnsi="FrankRuehl" w:cs="FrankRuehl"/>
          <w:noProof w:val="0"/>
          <w:sz w:val="28"/>
          <w:szCs w:val="28"/>
          <w:rtl/>
        </w:rPr>
        <w:t>8.</w:t>
      </w:r>
      <w:r>
        <w:rPr>
          <w:rFonts w:ascii="FrankRuehl" w:hAnsi="FrankRuehl" w:cs="FrankRuehl"/>
          <w:noProof w:val="0"/>
          <w:sz w:val="28"/>
          <w:szCs w:val="28"/>
          <w:rtl/>
        </w:rPr>
        <w:tab/>
        <w:t xml:space="preserve">אקדים ואומר, שטענת ב"כ העוררת לפיה גם בפני בית משפט קמא התקיים דיון במתכונת של "בקשה להשבת תפוסים", באופן המקנה עתה זכות לערור עליה מכוח סעיף 38א לפסד"פ, אינה מדויקת. </w:t>
      </w:r>
      <w:r w:rsidR="00F03E8F">
        <w:rPr>
          <w:rFonts w:ascii="FrankRuehl" w:hAnsi="FrankRuehl" w:cs="FrankRuehl" w:hint="cs"/>
          <w:noProof w:val="0"/>
          <w:sz w:val="28"/>
          <w:szCs w:val="28"/>
          <w:rtl/>
        </w:rPr>
        <w:t xml:space="preserve">כאמור, </w:t>
      </w:r>
      <w:r>
        <w:rPr>
          <w:rFonts w:ascii="FrankRuehl" w:hAnsi="FrankRuehl" w:cs="FrankRuehl"/>
          <w:noProof w:val="0"/>
          <w:sz w:val="28"/>
          <w:szCs w:val="28"/>
          <w:rtl/>
        </w:rPr>
        <w:t>כותרת הבקשה מושא החלטתו של בית משפט קמא מלמד</w:t>
      </w:r>
      <w:r w:rsidR="00F03E8F">
        <w:rPr>
          <w:rFonts w:ascii="FrankRuehl" w:hAnsi="FrankRuehl" w:cs="FrankRuehl" w:hint="cs"/>
          <w:noProof w:val="0"/>
          <w:sz w:val="28"/>
          <w:szCs w:val="28"/>
          <w:rtl/>
        </w:rPr>
        <w:t>ת</w:t>
      </w:r>
      <w:r>
        <w:rPr>
          <w:rFonts w:ascii="FrankRuehl" w:hAnsi="FrankRuehl" w:cs="FrankRuehl"/>
          <w:noProof w:val="0"/>
          <w:sz w:val="28"/>
          <w:szCs w:val="28"/>
          <w:rtl/>
        </w:rPr>
        <w:t xml:space="preserve"> שמדובר היה ב"בקשה לקיום דיון – דחוף – </w:t>
      </w:r>
      <w:r>
        <w:rPr>
          <w:rFonts w:ascii="Miriam" w:hAnsi="Miriam" w:cs="Miriam"/>
          <w:noProof w:val="0"/>
          <w:rtl/>
        </w:rPr>
        <w:t>בצו החיפוש שהוצא ביום 9.6.2024</w:t>
      </w:r>
      <w:r>
        <w:rPr>
          <w:rFonts w:ascii="FrankRuehl" w:hAnsi="FrankRuehl" w:cs="FrankRuehl"/>
          <w:noProof w:val="0"/>
          <w:sz w:val="28"/>
          <w:szCs w:val="28"/>
          <w:rtl/>
        </w:rPr>
        <w:t xml:space="preserve"> בעניין חיפוש בלשכתה של חברת הכנסת מירי רגב". ואם הדברים לא היו ברורים דיים, הרי שבפתח הבקשה הובהר שהבקשה מתייחסת ל"</w:t>
      </w:r>
      <w:r>
        <w:rPr>
          <w:rFonts w:ascii="Miriam" w:hAnsi="Miriam" w:cs="Miriam"/>
          <w:noProof w:val="0"/>
          <w:rtl/>
        </w:rPr>
        <w:t>צו החיפוש</w:t>
      </w:r>
      <w:r>
        <w:rPr>
          <w:rFonts w:ascii="FrankRuehl" w:hAnsi="FrankRuehl" w:cs="FrankRuehl"/>
          <w:noProof w:val="0"/>
          <w:sz w:val="28"/>
          <w:szCs w:val="28"/>
          <w:rtl/>
        </w:rPr>
        <w:t xml:space="preserve">... בנוגע לביצוע חיפוש בלשכתה של [העוררת]... </w:t>
      </w:r>
      <w:r>
        <w:rPr>
          <w:rFonts w:ascii="Miriam" w:hAnsi="Miriam" w:cs="Miriam"/>
          <w:noProof w:val="0"/>
          <w:rtl/>
        </w:rPr>
        <w:t>ולהורות על ביטולו</w:t>
      </w:r>
      <w:r>
        <w:rPr>
          <w:rFonts w:ascii="FrankRuehl" w:hAnsi="FrankRuehl" w:cs="FrankRuehl"/>
          <w:noProof w:val="0"/>
          <w:sz w:val="28"/>
          <w:szCs w:val="28"/>
          <w:rtl/>
        </w:rPr>
        <w:t xml:space="preserve"> נוכח הוראות... חוק החסינות" (ההדגשות הוספו – ע' מ').</w:t>
      </w:r>
      <w:r w:rsidR="00867142">
        <w:rPr>
          <w:rFonts w:ascii="FrankRuehl" w:hAnsi="FrankRuehl" w:cs="FrankRuehl" w:hint="cs"/>
          <w:noProof w:val="0"/>
          <w:sz w:val="28"/>
          <w:szCs w:val="28"/>
          <w:rtl/>
        </w:rPr>
        <w:t xml:space="preserve"> </w:t>
      </w:r>
      <w:r w:rsidR="00AA5FE7">
        <w:rPr>
          <w:rFonts w:ascii="FrankRuehl" w:hAnsi="FrankRuehl" w:cs="FrankRuehl" w:hint="cs"/>
          <w:noProof w:val="0"/>
          <w:sz w:val="28"/>
          <w:szCs w:val="28"/>
          <w:rtl/>
        </w:rPr>
        <w:t>וכך</w:t>
      </w:r>
      <w:r w:rsidR="00FF3127">
        <w:rPr>
          <w:rFonts w:ascii="FrankRuehl" w:hAnsi="FrankRuehl" w:cs="FrankRuehl" w:hint="cs"/>
          <w:noProof w:val="0"/>
          <w:sz w:val="28"/>
          <w:szCs w:val="28"/>
          <w:rtl/>
        </w:rPr>
        <w:t xml:space="preserve"> עולה</w:t>
      </w:r>
      <w:r w:rsidR="00AA5FE7">
        <w:rPr>
          <w:rFonts w:ascii="FrankRuehl" w:hAnsi="FrankRuehl" w:cs="FrankRuehl" w:hint="cs"/>
          <w:noProof w:val="0"/>
          <w:sz w:val="28"/>
          <w:szCs w:val="28"/>
          <w:rtl/>
        </w:rPr>
        <w:t xml:space="preserve"> גם </w:t>
      </w:r>
      <w:r w:rsidR="00FF3127">
        <w:rPr>
          <w:rFonts w:ascii="FrankRuehl" w:hAnsi="FrankRuehl" w:cs="FrankRuehl" w:hint="cs"/>
          <w:noProof w:val="0"/>
          <w:sz w:val="28"/>
          <w:szCs w:val="28"/>
          <w:rtl/>
        </w:rPr>
        <w:t>מ</w:t>
      </w:r>
      <w:r w:rsidR="00AA5FE7">
        <w:rPr>
          <w:rFonts w:ascii="FrankRuehl" w:hAnsi="FrankRuehl" w:cs="FrankRuehl" w:hint="cs"/>
          <w:noProof w:val="0"/>
          <w:sz w:val="28"/>
          <w:szCs w:val="28"/>
          <w:rtl/>
        </w:rPr>
        <w:t>פסקת הסיכום של הבקשה, בה ביקשו ב"כ העוררת מפורשות</w:t>
      </w:r>
      <w:r w:rsidR="00AA5FE7">
        <w:rPr>
          <w:rFonts w:ascii="FrankRuehl" w:hAnsi="FrankRuehl" w:cs="FrankRuehl"/>
          <w:noProof w:val="0"/>
          <w:sz w:val="28"/>
          <w:szCs w:val="28"/>
          <w:rtl/>
        </w:rPr>
        <w:t xml:space="preserve"> "</w:t>
      </w:r>
      <w:r w:rsidR="00AA5FE7" w:rsidRPr="00AA5FE7">
        <w:rPr>
          <w:rFonts w:ascii="Miriam" w:hAnsi="Miriam" w:cs="Miriam"/>
          <w:noProof w:val="0"/>
          <w:rtl/>
        </w:rPr>
        <w:t xml:space="preserve">לקיים דיון בצו החיפוש... ולהורות על ביטול הצו לחיפוש </w:t>
      </w:r>
      <w:r w:rsidR="00AA5FE7" w:rsidRPr="00867142">
        <w:rPr>
          <w:rFonts w:ascii="FrankRuehl" w:hAnsi="FrankRuehl" w:cs="FrankRuehl"/>
          <w:noProof w:val="0"/>
          <w:sz w:val="28"/>
          <w:szCs w:val="28"/>
          <w:rtl/>
        </w:rPr>
        <w:t>במסמכים, ניירות וכל כיוצא באלה הקשורים בחברת הכנסת</w:t>
      </w:r>
      <w:r w:rsidR="00AA5FE7">
        <w:rPr>
          <w:rFonts w:ascii="FrankRuehl" w:hAnsi="FrankRuehl" w:cs="FrankRuehl"/>
          <w:noProof w:val="0"/>
          <w:sz w:val="28"/>
          <w:szCs w:val="28"/>
          <w:rtl/>
        </w:rPr>
        <w:t>".</w:t>
      </w:r>
      <w:r>
        <w:rPr>
          <w:rFonts w:ascii="FrankRuehl" w:hAnsi="FrankRuehl" w:cs="FrankRuehl"/>
          <w:noProof w:val="0"/>
          <w:sz w:val="28"/>
          <w:szCs w:val="28"/>
          <w:rtl/>
        </w:rPr>
        <w:t xml:space="preserve"> </w:t>
      </w:r>
    </w:p>
    <w:p w:rsidR="001D5951" w:rsidRDefault="001D5951" w:rsidP="001D5951">
      <w:pPr>
        <w:rPr>
          <w:rFonts w:ascii="FrankRuehl" w:hAnsi="FrankRuehl" w:cs="FrankRuehl"/>
          <w:noProof w:val="0"/>
          <w:sz w:val="28"/>
          <w:szCs w:val="28"/>
          <w:rtl/>
        </w:rPr>
      </w:pPr>
    </w:p>
    <w:p w:rsidR="001D5951" w:rsidRDefault="001D5951" w:rsidP="001D5951">
      <w:pPr>
        <w:spacing w:line="360" w:lineRule="auto"/>
        <w:ind w:firstLine="720"/>
        <w:jc w:val="both"/>
        <w:rPr>
          <w:rFonts w:ascii="FrankRuehl" w:hAnsi="FrankRuehl" w:cs="FrankRuehl"/>
          <w:noProof w:val="0"/>
          <w:sz w:val="28"/>
          <w:szCs w:val="28"/>
          <w:rtl/>
        </w:rPr>
      </w:pPr>
      <w:r>
        <w:rPr>
          <w:rFonts w:ascii="FrankRuehl" w:hAnsi="FrankRuehl" w:cs="FrankRuehl"/>
          <w:noProof w:val="0"/>
          <w:sz w:val="28"/>
          <w:szCs w:val="28"/>
          <w:rtl/>
        </w:rPr>
        <w:t xml:space="preserve">הנה כי כן, הבקשה, וכך גם הדיון שהתקיים בפני בית משפט קמא, עסקו כל כולם בניסיונה של העוררת להביא </w:t>
      </w:r>
      <w:r>
        <w:rPr>
          <w:rFonts w:ascii="Miriam" w:hAnsi="Miriam" w:cs="Miriam"/>
          <w:noProof w:val="0"/>
          <w:rtl/>
        </w:rPr>
        <w:t>לביטולו של צו החיפוש</w:t>
      </w:r>
      <w:r>
        <w:rPr>
          <w:rFonts w:ascii="FrankRuehl" w:hAnsi="FrankRuehl" w:cs="FrankRuehl"/>
          <w:noProof w:val="0"/>
          <w:sz w:val="28"/>
          <w:szCs w:val="28"/>
          <w:rtl/>
        </w:rPr>
        <w:t>, גם אם מדובר היה בשלב בו כבר נעשה שימוש בצו. בהקשר זה יש לציין שעל אף שהחיפוש בוצע בפועל, קרי – המסמכים נאספו ונתפסו על ידי המשטרה, הרי שלנוכח האופן בו בוצע הצו, בהתאם למתווה עליו הורה בית משפט קמא במעמד החתימה על הצו, קרי – הכנסת המסמכים שנתפסו בלשכת העוררת למעטפות ולארגזים חתומים, הרי שלא התאפשר עד היום למשיבה לעיין בהם, ובוודאי שלא לקדם את החקירה בהתבסס עליהם. במצב דברים זה, וכאשר המסמכים המתינו במעין "עמדת המתנה" מחוץ להישג ידה של המשיבה, ניתן להבין את עמדת המשיבה לפיה החיפוש במשרד התחבורה טרם הושלם בפן המהותי.</w:t>
      </w:r>
    </w:p>
    <w:p w:rsidR="001D5951" w:rsidRDefault="001D5951" w:rsidP="001D5951">
      <w:pPr>
        <w:rPr>
          <w:rFonts w:ascii="FrankRuehl" w:hAnsi="FrankRuehl" w:cs="FrankRuehl"/>
          <w:noProof w:val="0"/>
          <w:sz w:val="28"/>
          <w:szCs w:val="28"/>
          <w:rtl/>
        </w:rPr>
      </w:pPr>
    </w:p>
    <w:p w:rsidR="001D5951" w:rsidRDefault="001D5951" w:rsidP="00AA5FE7">
      <w:pPr>
        <w:spacing w:line="360" w:lineRule="auto"/>
        <w:ind w:firstLine="720"/>
        <w:jc w:val="both"/>
        <w:rPr>
          <w:rFonts w:ascii="FrankRuehl" w:hAnsi="FrankRuehl" w:cs="FrankRuehl"/>
          <w:noProof w:val="0"/>
          <w:sz w:val="28"/>
          <w:szCs w:val="28"/>
          <w:rtl/>
        </w:rPr>
      </w:pPr>
      <w:r>
        <w:rPr>
          <w:rFonts w:ascii="FrankRuehl" w:hAnsi="FrankRuehl" w:cs="FrankRuehl"/>
          <w:noProof w:val="0"/>
          <w:sz w:val="28"/>
          <w:szCs w:val="28"/>
          <w:rtl/>
        </w:rPr>
        <w:t xml:space="preserve">על כך יש להוסיף, שהחלטתו המנומקת של בית משפט קמא התייחסה לטיעונים שנשמעו בפניו </w:t>
      </w:r>
      <w:r w:rsidR="00AA5FE7" w:rsidRPr="00AA5FE7">
        <w:rPr>
          <w:rFonts w:ascii="Miriam" w:hAnsi="Miriam" w:cs="Miriam"/>
          <w:noProof w:val="0"/>
          <w:rtl/>
        </w:rPr>
        <w:t>בהתאם לבקשה שהוגשה</w:t>
      </w:r>
      <w:r>
        <w:rPr>
          <w:rFonts w:ascii="FrankRuehl" w:hAnsi="FrankRuehl" w:cs="FrankRuehl"/>
          <w:noProof w:val="0"/>
          <w:sz w:val="28"/>
          <w:szCs w:val="28"/>
          <w:rtl/>
        </w:rPr>
        <w:t xml:space="preserve">, </w:t>
      </w:r>
      <w:r w:rsidR="00AA5FE7">
        <w:rPr>
          <w:rFonts w:ascii="FrankRuehl" w:hAnsi="FrankRuehl" w:cs="FrankRuehl" w:hint="cs"/>
          <w:noProof w:val="0"/>
          <w:sz w:val="28"/>
          <w:szCs w:val="28"/>
          <w:rtl/>
        </w:rPr>
        <w:t>כאשר אף</w:t>
      </w:r>
      <w:r w:rsidR="00AA5FE7">
        <w:rPr>
          <w:rFonts w:ascii="FrankRuehl" w:hAnsi="FrankRuehl" w:cs="FrankRuehl"/>
          <w:noProof w:val="0"/>
          <w:sz w:val="28"/>
          <w:szCs w:val="28"/>
          <w:rtl/>
        </w:rPr>
        <w:t xml:space="preserve"> מפרוטוקול הדיון</w:t>
      </w:r>
      <w:r>
        <w:rPr>
          <w:rFonts w:ascii="FrankRuehl" w:hAnsi="FrankRuehl" w:cs="FrankRuehl"/>
          <w:noProof w:val="0"/>
          <w:sz w:val="28"/>
          <w:szCs w:val="28"/>
          <w:rtl/>
        </w:rPr>
        <w:t xml:space="preserve"> עולה שכלל לא התקיים בבית משפט קמא דיון לפי סעיף 34 לפסד"פ, שהרי הדבר כלל לא התבקש</w:t>
      </w:r>
      <w:r w:rsidR="00AA5FE7">
        <w:rPr>
          <w:rFonts w:ascii="FrankRuehl" w:hAnsi="FrankRuehl" w:cs="FrankRuehl" w:hint="cs"/>
          <w:noProof w:val="0"/>
          <w:sz w:val="28"/>
          <w:szCs w:val="28"/>
          <w:rtl/>
        </w:rPr>
        <w:t>.</w:t>
      </w:r>
      <w:r>
        <w:rPr>
          <w:rFonts w:ascii="FrankRuehl" w:hAnsi="FrankRuehl" w:cs="FrankRuehl"/>
          <w:noProof w:val="0"/>
          <w:sz w:val="28"/>
          <w:szCs w:val="28"/>
          <w:rtl/>
        </w:rPr>
        <w:t xml:space="preserve"> מכאן</w:t>
      </w:r>
      <w:r w:rsidR="00AA5FE7">
        <w:rPr>
          <w:rFonts w:ascii="FrankRuehl" w:hAnsi="FrankRuehl" w:cs="FrankRuehl" w:hint="cs"/>
          <w:noProof w:val="0"/>
          <w:sz w:val="28"/>
          <w:szCs w:val="28"/>
          <w:rtl/>
        </w:rPr>
        <w:t>,</w:t>
      </w:r>
      <w:r>
        <w:rPr>
          <w:rFonts w:ascii="FrankRuehl" w:hAnsi="FrankRuehl" w:cs="FrankRuehl"/>
          <w:noProof w:val="0"/>
          <w:sz w:val="28"/>
          <w:szCs w:val="28"/>
          <w:rtl/>
        </w:rPr>
        <w:t xml:space="preserve"> שלא זו הייתה מטרת הדיון שעל בסיסה נ</w:t>
      </w:r>
      <w:r w:rsidR="00974D45">
        <w:rPr>
          <w:rFonts w:ascii="FrankRuehl" w:hAnsi="FrankRuehl" w:cs="FrankRuehl" w:hint="cs"/>
          <w:noProof w:val="0"/>
          <w:sz w:val="28"/>
          <w:szCs w:val="28"/>
          <w:rtl/>
        </w:rPr>
        <w:t>י</w:t>
      </w:r>
      <w:r>
        <w:rPr>
          <w:rFonts w:ascii="FrankRuehl" w:hAnsi="FrankRuehl" w:cs="FrankRuehl"/>
          <w:noProof w:val="0"/>
          <w:sz w:val="28"/>
          <w:szCs w:val="28"/>
          <w:rtl/>
        </w:rPr>
        <w:t xml:space="preserve">תנה ההחלטה. יתרה מכך, גם בפן האופרטיבי של ההחלטה שניתנה, לא הורה </w:t>
      </w:r>
      <w:r>
        <w:rPr>
          <w:rFonts w:ascii="FrankRuehl" w:hAnsi="FrankRuehl" w:cs="FrankRuehl"/>
          <w:noProof w:val="0"/>
          <w:sz w:val="28"/>
          <w:szCs w:val="28"/>
          <w:rtl/>
        </w:rPr>
        <w:lastRenderedPageBreak/>
        <w:t xml:space="preserve">בית משפט קמא על "שחרור תפוסים" לידי העוררת, לרבות תפוסים שהוכרו כחסינים מתפיסה מכוח חוק החסינות, וכל שנקבע לגביהם הוא שהם יוכנסו לקלסר נפרד ויישמרו "עד החלטה אחרת" בלשכת הנשיא. ובמלים אחרות – כל תוצרי החיפוש, לא יושבו בשלב זה לידי העוררת. </w:t>
      </w:r>
    </w:p>
    <w:p w:rsidR="001D5951" w:rsidRDefault="001D5951" w:rsidP="001D5951">
      <w:pPr>
        <w:rPr>
          <w:rFonts w:ascii="FrankRuehl" w:hAnsi="FrankRuehl" w:cs="FrankRuehl"/>
          <w:noProof w:val="0"/>
          <w:sz w:val="28"/>
          <w:szCs w:val="28"/>
          <w:rtl/>
        </w:rPr>
      </w:pPr>
    </w:p>
    <w:p w:rsidR="001D5951" w:rsidRDefault="001D5951" w:rsidP="001D5951">
      <w:pPr>
        <w:spacing w:line="360" w:lineRule="auto"/>
        <w:jc w:val="both"/>
        <w:rPr>
          <w:rFonts w:ascii="FrankRuehl" w:hAnsi="FrankRuehl" w:cs="FrankRuehl"/>
          <w:noProof w:val="0"/>
          <w:sz w:val="28"/>
          <w:szCs w:val="28"/>
          <w:rtl/>
        </w:rPr>
      </w:pPr>
      <w:r>
        <w:rPr>
          <w:rFonts w:ascii="FrankRuehl" w:hAnsi="FrankRuehl" w:cs="FrankRuehl"/>
          <w:noProof w:val="0"/>
          <w:sz w:val="28"/>
          <w:szCs w:val="28"/>
          <w:rtl/>
        </w:rPr>
        <w:t>9.</w:t>
      </w:r>
      <w:r>
        <w:rPr>
          <w:rFonts w:ascii="FrankRuehl" w:hAnsi="FrankRuehl" w:cs="FrankRuehl"/>
          <w:noProof w:val="0"/>
          <w:sz w:val="28"/>
          <w:szCs w:val="28"/>
          <w:rtl/>
        </w:rPr>
        <w:tab/>
        <w:t xml:space="preserve">לאחר שמצאתי שבפני בית משפט קמא כלל לא נערך דיון להחזרת תפוסים בהתאם להוראות סעיף 34 לפסד"פ, הרי שממילא לא קמה לעוררת זכות להגיש ערר בהסתמך על סעיף 38א לפסד"פ, ודי בכך היה כדי לדחות את הערר. אלא, שב"כ העוררת השיגו, כאמור, בהודעת הערר המקורית אף על הדרך בה נקט בית משפט קמא בהוצאת הצו מכוח סעיפים 23 ו-23א לפסד"פ, ומכאן עולה השאלה האם חלים בענייננו הכללים שנקבעו בעניין </w:t>
      </w:r>
      <w:r>
        <w:rPr>
          <w:rFonts w:ascii="Miriam" w:hAnsi="Miriam" w:cs="Miriam"/>
          <w:noProof w:val="0"/>
          <w:rtl/>
        </w:rPr>
        <w:t>אוריך</w:t>
      </w:r>
      <w:r>
        <w:rPr>
          <w:rFonts w:ascii="FrankRuehl" w:hAnsi="FrankRuehl" w:cs="FrankRuehl"/>
          <w:noProof w:val="0"/>
          <w:sz w:val="28"/>
          <w:szCs w:val="28"/>
          <w:rtl/>
        </w:rPr>
        <w:t>, המתייחסים, בין היתר, לאפשרות ההשגה על צווים שנחתמו בהתאם לסעיפים אלו.</w:t>
      </w:r>
    </w:p>
    <w:p w:rsidR="001D5951" w:rsidRDefault="001D5951" w:rsidP="001D5951">
      <w:pPr>
        <w:rPr>
          <w:rFonts w:ascii="FrankRuehl" w:hAnsi="FrankRuehl" w:cs="FrankRuehl"/>
          <w:noProof w:val="0"/>
          <w:sz w:val="28"/>
          <w:szCs w:val="28"/>
          <w:rtl/>
        </w:rPr>
      </w:pPr>
    </w:p>
    <w:p w:rsidR="001D5951" w:rsidRDefault="001D5951" w:rsidP="001D5951">
      <w:pPr>
        <w:spacing w:line="360" w:lineRule="auto"/>
        <w:ind w:firstLine="720"/>
        <w:jc w:val="both"/>
        <w:rPr>
          <w:rFonts w:ascii="FrankRuehl" w:hAnsi="FrankRuehl" w:cs="FrankRuehl"/>
          <w:noProof w:val="0"/>
          <w:sz w:val="28"/>
          <w:szCs w:val="28"/>
          <w:rtl/>
        </w:rPr>
      </w:pPr>
      <w:r>
        <w:rPr>
          <w:rFonts w:ascii="FrankRuehl" w:hAnsi="FrankRuehl" w:cs="FrankRuehl"/>
          <w:noProof w:val="0"/>
          <w:sz w:val="28"/>
          <w:szCs w:val="28"/>
          <w:rtl/>
        </w:rPr>
        <w:t xml:space="preserve">אזכיר שהכללים שנקבעו בעניין </w:t>
      </w:r>
      <w:r>
        <w:rPr>
          <w:rFonts w:ascii="Miriam" w:hAnsi="Miriam" w:cs="Miriam"/>
          <w:noProof w:val="0"/>
          <w:rtl/>
        </w:rPr>
        <w:t>אוריך</w:t>
      </w:r>
      <w:r>
        <w:rPr>
          <w:rFonts w:ascii="FrankRuehl" w:hAnsi="FrankRuehl" w:cs="FrankRuehl"/>
          <w:noProof w:val="0"/>
          <w:sz w:val="28"/>
          <w:szCs w:val="28"/>
          <w:rtl/>
        </w:rPr>
        <w:t xml:space="preserve"> התייחסו לבקשה לחיפוש בחומר מחשב, בעוד  שבתפיסה הנוכחית נתפסו בעיקר מסמכים קשיחים. על אף האמור, נקבע בעניין </w:t>
      </w:r>
      <w:r>
        <w:rPr>
          <w:rFonts w:ascii="Miriam" w:hAnsi="Miriam" w:cs="Miriam"/>
          <w:noProof w:val="0"/>
          <w:rtl/>
        </w:rPr>
        <w:t>אוריך</w:t>
      </w:r>
      <w:r>
        <w:rPr>
          <w:rFonts w:ascii="FrankRuehl" w:hAnsi="FrankRuehl" w:cs="FrankRuehl"/>
          <w:noProof w:val="0"/>
          <w:sz w:val="28"/>
          <w:szCs w:val="28"/>
          <w:rtl/>
        </w:rPr>
        <w:t xml:space="preserve"> שאמנם פקודת החיפוש אינה מעגנת זכות ערר או ערעור על החלטה בבקשה לצו חיפוש במחשב, אולם כלל זה נכון אף "</w:t>
      </w:r>
      <w:r>
        <w:rPr>
          <w:rFonts w:ascii="Miriam" w:hAnsi="Miriam" w:cs="Miriam"/>
          <w:noProof w:val="0"/>
          <w:rtl/>
        </w:rPr>
        <w:t>ביחס לצווי חיפוש מסוגים אחרים</w:t>
      </w:r>
      <w:r>
        <w:rPr>
          <w:rFonts w:ascii="FrankRuehl" w:hAnsi="FrankRuehl" w:cs="FrankRuehl"/>
          <w:noProof w:val="0"/>
          <w:sz w:val="28"/>
          <w:szCs w:val="28"/>
          <w:rtl/>
        </w:rPr>
        <w:t xml:space="preserve">" (פסקה 81). בהמשך, נדונה שאלת האפשרות להגיש ערר "ביחס </w:t>
      </w:r>
      <w:r>
        <w:rPr>
          <w:rFonts w:ascii="Miriam" w:hAnsi="Miriam" w:cs="Miriam"/>
          <w:noProof w:val="0"/>
          <w:rtl/>
        </w:rPr>
        <w:t>לבקשות</w:t>
      </w:r>
      <w:r>
        <w:rPr>
          <w:rFonts w:ascii="FrankRuehl" w:hAnsi="FrankRuehl" w:cs="FrankRuehl"/>
          <w:noProof w:val="0"/>
          <w:sz w:val="28"/>
          <w:szCs w:val="28"/>
          <w:rtl/>
        </w:rPr>
        <w:t xml:space="preserve"> </w:t>
      </w:r>
      <w:r>
        <w:rPr>
          <w:rFonts w:ascii="Miriam" w:hAnsi="Miriam" w:cs="Miriam"/>
          <w:noProof w:val="0"/>
          <w:rtl/>
        </w:rPr>
        <w:t>חיפוש</w:t>
      </w:r>
      <w:r>
        <w:rPr>
          <w:rFonts w:ascii="FrankRuehl" w:hAnsi="FrankRuehl" w:cs="FrankRuehl"/>
          <w:noProof w:val="0"/>
          <w:sz w:val="28"/>
          <w:szCs w:val="28"/>
          <w:rtl/>
        </w:rPr>
        <w:t xml:space="preserve">, </w:t>
      </w:r>
      <w:r>
        <w:rPr>
          <w:rFonts w:ascii="Miriam" w:hAnsi="Miriam" w:cs="Miriam"/>
          <w:noProof w:val="0"/>
          <w:rtl/>
        </w:rPr>
        <w:t>ובכללן</w:t>
      </w:r>
      <w:r>
        <w:rPr>
          <w:rFonts w:ascii="FrankRuehl" w:hAnsi="FrankRuehl" w:cs="FrankRuehl"/>
          <w:noProof w:val="0"/>
          <w:sz w:val="28"/>
          <w:szCs w:val="28"/>
          <w:rtl/>
        </w:rPr>
        <w:t xml:space="preserve"> חיפוש במחשב...", קרי על בקשות חיפוש </w:t>
      </w:r>
      <w:r>
        <w:rPr>
          <w:rFonts w:ascii="Miriam" w:hAnsi="Miriam" w:cs="Miriam"/>
          <w:noProof w:val="0"/>
          <w:rtl/>
        </w:rPr>
        <w:t>מכל סוג שהוא</w:t>
      </w:r>
      <w:r>
        <w:rPr>
          <w:rFonts w:ascii="FrankRuehl" w:hAnsi="FrankRuehl" w:cs="FrankRuehl"/>
          <w:noProof w:val="0"/>
          <w:sz w:val="28"/>
          <w:szCs w:val="28"/>
          <w:rtl/>
        </w:rPr>
        <w:t xml:space="preserve"> (פסקה 86, אליה נגיע בהמשך). לגופו של עניין, נקבע בפסקה 83:</w:t>
      </w:r>
    </w:p>
    <w:p w:rsidR="001D5951" w:rsidRDefault="001D5951" w:rsidP="001D5951">
      <w:pPr>
        <w:rPr>
          <w:rFonts w:ascii="FrankRuehl" w:hAnsi="FrankRuehl" w:cs="FrankRuehl"/>
          <w:noProof w:val="0"/>
          <w:sz w:val="28"/>
          <w:szCs w:val="28"/>
          <w:rtl/>
        </w:rPr>
      </w:pPr>
    </w:p>
    <w:p w:rsidR="001D5951" w:rsidRDefault="001D5951" w:rsidP="001D5951">
      <w:pPr>
        <w:spacing w:line="360" w:lineRule="auto"/>
        <w:ind w:left="720" w:right="567"/>
        <w:jc w:val="both"/>
        <w:rPr>
          <w:rFonts w:ascii="FrankRuehl" w:hAnsi="FrankRuehl" w:cs="FrankRuehl"/>
          <w:noProof w:val="0"/>
          <w:sz w:val="28"/>
          <w:szCs w:val="28"/>
          <w:rtl/>
        </w:rPr>
      </w:pPr>
      <w:r>
        <w:rPr>
          <w:rFonts w:ascii="FrankRuehl" w:hAnsi="FrankRuehl" w:cs="FrankRuehl"/>
          <w:noProof w:val="0"/>
          <w:sz w:val="28"/>
          <w:szCs w:val="28"/>
          <w:rtl/>
        </w:rPr>
        <w:t xml:space="preserve">"לשיטתי, כלל הפותח פתח להליכי </w:t>
      </w:r>
      <w:r w:rsidRPr="001D5951">
        <w:rPr>
          <w:rFonts w:ascii="FrankRuehl" w:hAnsi="FrankRuehl" w:cs="FrankRuehl"/>
          <w:noProof w:val="0"/>
          <w:sz w:val="28"/>
          <w:szCs w:val="28"/>
          <w:rtl/>
        </w:rPr>
        <w:t xml:space="preserve">השגה בהקשר זה אינו עולה בקנה אחד עם התכלית הסובייקטיבית והאובייקטיבית של </w:t>
      </w:r>
      <w:hyperlink r:id="rId10" w:history="1">
        <w:r w:rsidRPr="001D5951">
          <w:rPr>
            <w:rStyle w:val="Hyperlink"/>
            <w:rFonts w:ascii="FrankRuehl" w:hAnsi="FrankRuehl" w:cs="FrankRuehl"/>
            <w:noProof w:val="0"/>
            <w:color w:val="auto"/>
            <w:sz w:val="28"/>
            <w:szCs w:val="28"/>
            <w:u w:val="none"/>
            <w:rtl/>
          </w:rPr>
          <w:t>סעיף 23א</w:t>
        </w:r>
      </w:hyperlink>
      <w:r w:rsidRPr="001D5951">
        <w:rPr>
          <w:rFonts w:ascii="FrankRuehl" w:hAnsi="FrankRuehl" w:cs="FrankRuehl"/>
          <w:noProof w:val="0"/>
          <w:sz w:val="28"/>
          <w:szCs w:val="28"/>
          <w:rtl/>
        </w:rPr>
        <w:t xml:space="preserve"> לפקודת החיפוש. ההצדקות המהותיות לכלל שלפיו יש לקיים את הדיו</w:t>
      </w:r>
      <w:r>
        <w:rPr>
          <w:rFonts w:ascii="FrankRuehl" w:hAnsi="FrankRuehl" w:cs="FrankRuehl"/>
          <w:noProof w:val="0"/>
          <w:sz w:val="28"/>
          <w:szCs w:val="28"/>
          <w:rtl/>
        </w:rPr>
        <w:t>ן בבקשה לצו חיפוש במחשב במעמד צד אחד – ובהן הצורך בשמירה על מהירות החקירה ויעילותה; החשש מפני פעולות שיבוש; והאפשרות להעלות השגות על הצו במסגרת ההליך העיקרי – כל אלה עומדות בעינן גם בבואנו לבחון אם יש להקנות זכות השגה על צו חיפוש שטרם בוצע. מתן זכות לקיים הליך השגה "בזמן אמת" לבעל המחשב או למחזיק בו, ועל אחת כמה וכמה לכל גורם אחר שרואה עצמו נפגע ממתן צו החיפוש, עלול לגרור עיכובים משמעותיים בביצוע צו החיפוש שניתן, להאט את החקירה ולספק כר פורה לפעולות שיבוש."</w:t>
      </w:r>
    </w:p>
    <w:p w:rsidR="001D5951" w:rsidRDefault="001D5951" w:rsidP="001D5951">
      <w:pPr>
        <w:rPr>
          <w:rFonts w:ascii="FrankRuehl" w:hAnsi="FrankRuehl" w:cs="FrankRuehl"/>
          <w:noProof w:val="0"/>
          <w:sz w:val="28"/>
          <w:szCs w:val="28"/>
          <w:rtl/>
        </w:rPr>
      </w:pPr>
    </w:p>
    <w:p w:rsidR="001D5951" w:rsidRDefault="001D5951" w:rsidP="001D5951">
      <w:pPr>
        <w:spacing w:line="360" w:lineRule="auto"/>
        <w:jc w:val="both"/>
        <w:rPr>
          <w:rFonts w:ascii="FrankRuehl" w:hAnsi="FrankRuehl" w:cs="FrankRuehl"/>
          <w:noProof w:val="0"/>
          <w:sz w:val="28"/>
          <w:szCs w:val="28"/>
        </w:rPr>
      </w:pPr>
      <w:r>
        <w:rPr>
          <w:rFonts w:ascii="FrankRuehl" w:hAnsi="FrankRuehl" w:cs="FrankRuehl"/>
          <w:noProof w:val="0"/>
          <w:sz w:val="28"/>
          <w:szCs w:val="28"/>
          <w:rtl/>
        </w:rPr>
        <w:t>10.</w:t>
      </w:r>
      <w:r>
        <w:rPr>
          <w:rFonts w:ascii="FrankRuehl" w:hAnsi="FrankRuehl" w:cs="FrankRuehl"/>
          <w:noProof w:val="0"/>
          <w:sz w:val="28"/>
          <w:szCs w:val="28"/>
          <w:rtl/>
        </w:rPr>
        <w:tab/>
        <w:t xml:space="preserve">בשונה ממצב הדברים בעניין </w:t>
      </w:r>
      <w:r>
        <w:rPr>
          <w:rFonts w:ascii="Miriam" w:hAnsi="Miriam" w:cs="Miriam"/>
          <w:noProof w:val="0"/>
          <w:rtl/>
        </w:rPr>
        <w:t>אוריך</w:t>
      </w:r>
      <w:r>
        <w:rPr>
          <w:rFonts w:ascii="FrankRuehl" w:hAnsi="FrankRuehl" w:cs="FrankRuehl"/>
          <w:noProof w:val="0"/>
          <w:sz w:val="28"/>
          <w:szCs w:val="28"/>
          <w:rtl/>
        </w:rPr>
        <w:t xml:space="preserve">, במקרה שלפנינו החיפוש הפיזי כבר התקיים, והמסמכים הוצאו מידי מי שהחזיק בהם באופן שאינו מאפשר עוד לבצע "פעולות שיבוש". </w:t>
      </w:r>
      <w:r>
        <w:rPr>
          <w:rFonts w:ascii="FrankRuehl" w:hAnsi="FrankRuehl" w:cs="FrankRuehl"/>
          <w:noProof w:val="0"/>
          <w:sz w:val="28"/>
          <w:szCs w:val="28"/>
          <w:rtl/>
        </w:rPr>
        <w:lastRenderedPageBreak/>
        <w:t xml:space="preserve">ואולם, ככל שהדבר נוגע ל"עיכובים משמעותיים" בהעברת חומרי החקירה לידי המשיבה או להאטה בחקירה, דומה שהתממש החשש שעמד בבסיס ההנמקה לפיה ככלל אין לאפשר קיום דיון בנוגע להוצאת הצו. משכך הם פני הדברים, ומשניתנה לעוררת, באופן חריג ונדיר, ההזדמנות להביע עמדתה בפני הערכאה שתחת ידה הוצא הצו, המסר המרכזי העובר כחוט השני בפסק הדין בעניין </w:t>
      </w:r>
      <w:r>
        <w:rPr>
          <w:rFonts w:ascii="Miriam" w:hAnsi="Miriam" w:cs="Miriam"/>
          <w:noProof w:val="0"/>
          <w:rtl/>
        </w:rPr>
        <w:t>אוריך</w:t>
      </w:r>
      <w:r>
        <w:rPr>
          <w:rFonts w:ascii="FrankRuehl" w:hAnsi="FrankRuehl" w:cs="FrankRuehl"/>
          <w:noProof w:val="0"/>
          <w:sz w:val="28"/>
          <w:szCs w:val="28"/>
          <w:rtl/>
        </w:rPr>
        <w:t xml:space="preserve"> אינו תומך בעמדה לפיה שמורה לה זכות לערור על ההחלטה באופן שיגרור אחריו עיכוב משמעותי נוסף ביישום הצו והאטת החקירה אף מעבר לפגיעה שנגרמה לה עד כה. </w:t>
      </w:r>
    </w:p>
    <w:p w:rsidR="001D5951" w:rsidRDefault="001D5951" w:rsidP="001D5951">
      <w:pPr>
        <w:rPr>
          <w:rFonts w:ascii="FrankRuehl" w:hAnsi="FrankRuehl" w:cs="FrankRuehl"/>
          <w:noProof w:val="0"/>
          <w:sz w:val="28"/>
          <w:szCs w:val="28"/>
          <w:rtl/>
        </w:rPr>
      </w:pPr>
    </w:p>
    <w:p w:rsidR="001D5951" w:rsidRDefault="001D5951" w:rsidP="001D5951">
      <w:pPr>
        <w:spacing w:line="360" w:lineRule="auto"/>
        <w:ind w:firstLine="720"/>
        <w:jc w:val="both"/>
        <w:rPr>
          <w:rFonts w:ascii="FrankRuehl" w:hAnsi="FrankRuehl" w:cs="FrankRuehl"/>
          <w:noProof w:val="0"/>
          <w:sz w:val="28"/>
          <w:szCs w:val="28"/>
          <w:rtl/>
        </w:rPr>
      </w:pPr>
      <w:r>
        <w:rPr>
          <w:rFonts w:ascii="FrankRuehl" w:hAnsi="FrankRuehl" w:cs="FrankRuehl"/>
          <w:noProof w:val="0"/>
          <w:sz w:val="28"/>
          <w:szCs w:val="28"/>
          <w:rtl/>
        </w:rPr>
        <w:t xml:space="preserve">ואולם, וזה העיקר, הנימוק המרכזי להעדר אפשרות להשיג על החלטת בית משפט קמא הוא העדר הסמכה מפורשת בחוק. העדר הסמכה כאמור, היא החוט המקשר בין הלכת </w:t>
      </w:r>
      <w:r>
        <w:rPr>
          <w:rFonts w:ascii="Miriam" w:hAnsi="Miriam" w:cs="Miriam"/>
          <w:noProof w:val="0"/>
          <w:rtl/>
        </w:rPr>
        <w:t>אוריך</w:t>
      </w:r>
      <w:r>
        <w:rPr>
          <w:rFonts w:ascii="FrankRuehl" w:hAnsi="FrankRuehl" w:cs="FrankRuehl"/>
          <w:noProof w:val="0"/>
          <w:sz w:val="28"/>
          <w:szCs w:val="28"/>
          <w:rtl/>
        </w:rPr>
        <w:t xml:space="preserve">, שחלה באופן מובהק על מקרים בהם טרם בוצע הצו, לבין מקרים כמו המקרה שלפנינו, בו ביצוע הצו טרם הושלם. על העדר היכולת להגיש ערר בהעדר הסמכה מפורשת בחוק עמדה הנשיאה </w:t>
      </w:r>
      <w:r>
        <w:rPr>
          <w:rFonts w:ascii="Miriam" w:hAnsi="Miriam" w:cs="Miriam"/>
          <w:noProof w:val="0"/>
          <w:rtl/>
        </w:rPr>
        <w:t>חיות</w:t>
      </w:r>
      <w:r>
        <w:rPr>
          <w:rFonts w:ascii="FrankRuehl" w:hAnsi="FrankRuehl" w:cs="FrankRuehl"/>
          <w:noProof w:val="0"/>
          <w:sz w:val="28"/>
          <w:szCs w:val="28"/>
          <w:rtl/>
        </w:rPr>
        <w:t xml:space="preserve"> (</w:t>
      </w:r>
      <w:r w:rsidR="001A3818">
        <w:rPr>
          <w:rFonts w:ascii="FrankRuehl" w:hAnsi="FrankRuehl" w:cs="FrankRuehl"/>
          <w:noProof w:val="0"/>
          <w:sz w:val="28"/>
          <w:szCs w:val="28"/>
          <w:rtl/>
        </w:rPr>
        <w:t xml:space="preserve">דנ"פ </w:t>
      </w:r>
      <w:r w:rsidR="001A3818">
        <w:rPr>
          <w:rFonts w:ascii="Miriam" w:hAnsi="Miriam" w:cs="Miriam"/>
          <w:noProof w:val="0"/>
          <w:rtl/>
        </w:rPr>
        <w:t>אוריך</w:t>
      </w:r>
      <w:r w:rsidR="001A3818">
        <w:rPr>
          <w:rFonts w:ascii="FrankRuehl" w:hAnsi="FrankRuehl" w:cs="FrankRuehl"/>
          <w:noProof w:val="0"/>
          <w:sz w:val="28"/>
          <w:szCs w:val="28"/>
          <w:rtl/>
        </w:rPr>
        <w:t xml:space="preserve"> </w:t>
      </w:r>
      <w:r>
        <w:rPr>
          <w:rFonts w:ascii="FrankRuehl" w:hAnsi="FrankRuehl" w:cs="FrankRuehl"/>
          <w:noProof w:val="0"/>
          <w:sz w:val="28"/>
          <w:szCs w:val="28"/>
          <w:rtl/>
        </w:rPr>
        <w:t>פסקה 86):</w:t>
      </w:r>
    </w:p>
    <w:p w:rsidR="001D5951" w:rsidRDefault="001D5951" w:rsidP="001D5951">
      <w:pPr>
        <w:rPr>
          <w:rFonts w:ascii="FrankRuehl" w:hAnsi="FrankRuehl" w:cs="FrankRuehl"/>
          <w:noProof w:val="0"/>
          <w:sz w:val="28"/>
          <w:szCs w:val="28"/>
          <w:rtl/>
        </w:rPr>
      </w:pPr>
    </w:p>
    <w:p w:rsidR="001D5951" w:rsidRDefault="001D5951" w:rsidP="001D5951">
      <w:pPr>
        <w:spacing w:line="360" w:lineRule="auto"/>
        <w:ind w:left="720" w:right="567"/>
        <w:jc w:val="both"/>
        <w:rPr>
          <w:rFonts w:ascii="FrankRuehl" w:hAnsi="FrankRuehl" w:cs="FrankRuehl"/>
          <w:noProof w:val="0"/>
          <w:sz w:val="28"/>
          <w:szCs w:val="28"/>
          <w:rtl/>
        </w:rPr>
      </w:pPr>
      <w:r>
        <w:rPr>
          <w:rFonts w:ascii="FrankRuehl" w:hAnsi="FrankRuehl" w:cs="FrankRuehl"/>
          <w:noProof w:val="0"/>
          <w:sz w:val="28"/>
          <w:szCs w:val="28"/>
          <w:rtl/>
        </w:rPr>
        <w:t xml:space="preserve">"כאמור, ביחס </w:t>
      </w:r>
      <w:r>
        <w:rPr>
          <w:rFonts w:ascii="Miriam" w:hAnsi="Miriam" w:cs="Miriam"/>
          <w:noProof w:val="0"/>
          <w:rtl/>
        </w:rPr>
        <w:t>לבקשות חיפוש</w:t>
      </w:r>
      <w:r>
        <w:rPr>
          <w:rFonts w:ascii="FrankRuehl" w:hAnsi="FrankRuehl" w:cs="FrankRuehl"/>
          <w:noProof w:val="0"/>
          <w:sz w:val="28"/>
          <w:szCs w:val="28"/>
          <w:rtl/>
        </w:rPr>
        <w:t xml:space="preserve">, </w:t>
      </w:r>
      <w:r w:rsidRPr="001D5951">
        <w:rPr>
          <w:rFonts w:ascii="FrankRuehl" w:hAnsi="FrankRuehl" w:cs="FrankRuehl"/>
          <w:noProof w:val="0"/>
          <w:sz w:val="28"/>
          <w:szCs w:val="28"/>
          <w:rtl/>
        </w:rPr>
        <w:t xml:space="preserve">ובכללן חיפוש במחשב, </w:t>
      </w:r>
      <w:r w:rsidRPr="001D5951">
        <w:rPr>
          <w:rFonts w:ascii="Miriam" w:hAnsi="Miriam" w:cs="Miriam"/>
          <w:noProof w:val="0"/>
          <w:rtl/>
        </w:rPr>
        <w:t>לא הוקנתה בפקודת החיפוש זכות ערר</w:t>
      </w:r>
      <w:r w:rsidRPr="001D5951">
        <w:rPr>
          <w:rFonts w:ascii="FrankRuehl" w:hAnsi="FrankRuehl" w:cs="FrankRuehl"/>
          <w:noProof w:val="0"/>
          <w:sz w:val="28"/>
          <w:szCs w:val="28"/>
          <w:rtl/>
        </w:rPr>
        <w:t xml:space="preserve">, בעוד שעל החלטות בעניינים המנויים </w:t>
      </w:r>
      <w:hyperlink r:id="rId11" w:history="1">
        <w:r w:rsidRPr="001D5951">
          <w:rPr>
            <w:rStyle w:val="Hyperlink"/>
            <w:rFonts w:ascii="FrankRuehl" w:hAnsi="FrankRuehl" w:cs="FrankRuehl"/>
            <w:noProof w:val="0"/>
            <w:color w:val="auto"/>
            <w:sz w:val="28"/>
            <w:szCs w:val="28"/>
            <w:u w:val="none"/>
            <w:rtl/>
          </w:rPr>
          <w:t>בפרק הרביעי לפקודה</w:t>
        </w:r>
      </w:hyperlink>
      <w:r w:rsidRPr="001D5951">
        <w:rPr>
          <w:rFonts w:ascii="FrankRuehl" w:hAnsi="FrankRuehl" w:cs="FrankRuehl"/>
          <w:noProof w:val="0"/>
          <w:sz w:val="28"/>
          <w:szCs w:val="28"/>
          <w:rtl/>
        </w:rPr>
        <w:t xml:space="preserve"> – ובפרט על בקשות להחזרת תפוס – בחר המחוקק להקנות זכות ערר מפורשת במסגרת תיקון מס' 12 לפקודה (ראו </w:t>
      </w:r>
      <w:hyperlink r:id="rId12" w:history="1">
        <w:r w:rsidRPr="001D5951">
          <w:rPr>
            <w:rStyle w:val="Hyperlink"/>
            <w:rFonts w:ascii="FrankRuehl" w:hAnsi="FrankRuehl" w:cs="FrankRuehl"/>
            <w:noProof w:val="0"/>
            <w:color w:val="auto"/>
            <w:sz w:val="28"/>
            <w:szCs w:val="28"/>
            <w:u w:val="none"/>
            <w:rtl/>
          </w:rPr>
          <w:t>סעיף 38א</w:t>
        </w:r>
      </w:hyperlink>
      <w:r w:rsidRPr="001D5951">
        <w:rPr>
          <w:rFonts w:ascii="FrankRuehl" w:hAnsi="FrankRuehl" w:cs="FrankRuehl"/>
          <w:noProof w:val="0"/>
          <w:sz w:val="28"/>
          <w:szCs w:val="28"/>
          <w:rtl/>
        </w:rPr>
        <w:t xml:space="preserve"> לפקודת החיפוש, וכן ראו דברי ההסבר להצעת תיקון מס' 12, בעמ' 151). לגישתי, יש לייחס משקל לבחירתו של המחוקק למקד באופן זה את זכות הערר</w:t>
      </w:r>
      <w:r>
        <w:rPr>
          <w:rFonts w:ascii="FrankRuehl" w:hAnsi="FrankRuehl" w:cs="FrankRuehl"/>
          <w:noProof w:val="0"/>
          <w:sz w:val="28"/>
          <w:szCs w:val="28"/>
          <w:rtl/>
        </w:rPr>
        <w:t>, בפרט נוכח העובדה שתיקון מס' 12 כלל תיקונים גם בכל הנוגע להליכי חיפוש. על כן, קשה לטעון כי סוגיית החיפוש נעלמה מעיניו של המחוקק..."</w:t>
      </w:r>
      <w:r w:rsidR="00D177F3">
        <w:rPr>
          <w:rFonts w:ascii="FrankRuehl" w:hAnsi="FrankRuehl" w:cs="FrankRuehl" w:hint="cs"/>
          <w:noProof w:val="0"/>
          <w:sz w:val="28"/>
          <w:szCs w:val="28"/>
          <w:rtl/>
        </w:rPr>
        <w:t>.</w:t>
      </w:r>
    </w:p>
    <w:p w:rsidR="001D5951" w:rsidRDefault="001D5951" w:rsidP="001D5951">
      <w:pPr>
        <w:rPr>
          <w:rFonts w:ascii="FrankRuehl" w:hAnsi="FrankRuehl" w:cs="FrankRuehl"/>
          <w:noProof w:val="0"/>
          <w:sz w:val="28"/>
          <w:szCs w:val="28"/>
          <w:rtl/>
        </w:rPr>
      </w:pPr>
    </w:p>
    <w:p w:rsidR="001D5951" w:rsidRDefault="001D5951" w:rsidP="001D5951">
      <w:pPr>
        <w:spacing w:line="360" w:lineRule="auto"/>
        <w:ind w:firstLine="720"/>
        <w:jc w:val="both"/>
        <w:rPr>
          <w:rFonts w:ascii="FrankRuehl" w:hAnsi="FrankRuehl" w:cs="FrankRuehl"/>
          <w:noProof w:val="0"/>
          <w:sz w:val="28"/>
          <w:szCs w:val="28"/>
          <w:rtl/>
        </w:rPr>
      </w:pPr>
      <w:r>
        <w:rPr>
          <w:rFonts w:ascii="FrankRuehl" w:hAnsi="FrankRuehl" w:cs="FrankRuehl"/>
          <w:noProof w:val="0"/>
          <w:sz w:val="28"/>
          <w:szCs w:val="28"/>
          <w:rtl/>
        </w:rPr>
        <w:t xml:space="preserve">לסיכום נקודה זו, על אף שמצאתי שחל החריג שאוזכר בעניין </w:t>
      </w:r>
      <w:r>
        <w:rPr>
          <w:rFonts w:ascii="Miriam" w:hAnsi="Miriam" w:cs="Miriam"/>
          <w:noProof w:val="0"/>
          <w:rtl/>
        </w:rPr>
        <w:t>אוריך</w:t>
      </w:r>
      <w:r>
        <w:rPr>
          <w:rFonts w:ascii="FrankRuehl" w:hAnsi="FrankRuehl" w:cs="FrankRuehl"/>
          <w:noProof w:val="0"/>
          <w:sz w:val="28"/>
          <w:szCs w:val="28"/>
          <w:rtl/>
        </w:rPr>
        <w:t xml:space="preserve"> שאפשר קיום דיון בערכאה הדיונית, אין משמעות הדבר שהדבר מקנה באופן אוטומטי זכות השגה על החלטה זו, בהעדר הסמכה מפורשת בחוק.</w:t>
      </w:r>
    </w:p>
    <w:p w:rsidR="001D5951" w:rsidRDefault="001D5951" w:rsidP="001D5951">
      <w:pPr>
        <w:rPr>
          <w:rFonts w:ascii="FrankRuehl" w:hAnsi="FrankRuehl" w:cs="FrankRuehl"/>
          <w:noProof w:val="0"/>
          <w:sz w:val="28"/>
          <w:szCs w:val="28"/>
          <w:rtl/>
        </w:rPr>
      </w:pPr>
    </w:p>
    <w:p w:rsidR="001D5951" w:rsidRDefault="001D5951" w:rsidP="001D5951">
      <w:pPr>
        <w:spacing w:line="360" w:lineRule="auto"/>
        <w:jc w:val="both"/>
        <w:rPr>
          <w:rFonts w:ascii="FrankRuehl" w:hAnsi="FrankRuehl" w:cs="FrankRuehl"/>
          <w:noProof w:val="0"/>
          <w:sz w:val="28"/>
          <w:szCs w:val="28"/>
          <w:rtl/>
        </w:rPr>
      </w:pPr>
      <w:r>
        <w:rPr>
          <w:rFonts w:ascii="FrankRuehl" w:hAnsi="FrankRuehl" w:cs="FrankRuehl"/>
          <w:noProof w:val="0"/>
          <w:sz w:val="28"/>
          <w:szCs w:val="28"/>
          <w:rtl/>
        </w:rPr>
        <w:t>11.</w:t>
      </w:r>
      <w:r>
        <w:rPr>
          <w:rFonts w:ascii="FrankRuehl" w:hAnsi="FrankRuehl" w:cs="FrankRuehl"/>
          <w:noProof w:val="0"/>
          <w:sz w:val="28"/>
          <w:szCs w:val="28"/>
          <w:rtl/>
        </w:rPr>
        <w:tab/>
        <w:t xml:space="preserve">בהחלטת שופטי הרוב בדנ"פ </w:t>
      </w:r>
      <w:r>
        <w:rPr>
          <w:rFonts w:ascii="Miriam" w:hAnsi="Miriam" w:cs="Miriam"/>
          <w:noProof w:val="0"/>
          <w:rtl/>
        </w:rPr>
        <w:t>אוריך</w:t>
      </w:r>
      <w:r>
        <w:rPr>
          <w:rFonts w:ascii="FrankRuehl" w:hAnsi="FrankRuehl" w:cs="FrankRuehl"/>
          <w:noProof w:val="0"/>
          <w:sz w:val="28"/>
          <w:szCs w:val="28"/>
          <w:rtl/>
        </w:rPr>
        <w:t xml:space="preserve"> נשללה אף האפשרות להשיג על צו החיפוש </w:t>
      </w:r>
      <w:r>
        <w:rPr>
          <w:rFonts w:ascii="Miriam" w:hAnsi="Miriam" w:cs="Miriam"/>
          <w:noProof w:val="0"/>
          <w:rtl/>
        </w:rPr>
        <w:t>בדרך עקיפה</w:t>
      </w:r>
      <w:r>
        <w:rPr>
          <w:rFonts w:ascii="FrankRuehl" w:hAnsi="FrankRuehl" w:cs="FrankRuehl"/>
          <w:noProof w:val="0"/>
          <w:sz w:val="28"/>
          <w:szCs w:val="28"/>
          <w:rtl/>
        </w:rPr>
        <w:t xml:space="preserve">, למשל במסגרת הליך של החזרת תפוס, לפי סעיפים 34 ו-38א לפקודת החיפוש. אכן, בשונה מהמצב שלפנינו, התייחסה ההחלטה לשלב בו הבקשה להחזרת התפוס, והערר הנלווה אליו במקרה של דחיית הבקשה, הוגשו בנקודת זמן בה טרם בוצע צו החיפוש. ואולם, בדומה לעניין </w:t>
      </w:r>
      <w:r>
        <w:rPr>
          <w:rFonts w:ascii="Miriam" w:hAnsi="Miriam" w:cs="Miriam"/>
          <w:noProof w:val="0"/>
          <w:rtl/>
        </w:rPr>
        <w:t>אוריך</w:t>
      </w:r>
      <w:r>
        <w:rPr>
          <w:rFonts w:ascii="FrankRuehl" w:hAnsi="FrankRuehl" w:cs="FrankRuehl"/>
          <w:noProof w:val="0"/>
          <w:sz w:val="28"/>
          <w:szCs w:val="28"/>
          <w:rtl/>
        </w:rPr>
        <w:t xml:space="preserve">, גם במקרה שלפנינו חומר החקירה שהושג במסגרת צו החיפוש </w:t>
      </w:r>
      <w:r>
        <w:rPr>
          <w:rFonts w:ascii="Miriam" w:hAnsi="Miriam" w:cs="Miriam"/>
          <w:noProof w:val="0"/>
          <w:rtl/>
        </w:rPr>
        <w:t xml:space="preserve">עדין לא הועבר </w:t>
      </w:r>
      <w:r>
        <w:rPr>
          <w:rFonts w:ascii="Miriam" w:hAnsi="Miriam" w:cs="Miriam"/>
          <w:noProof w:val="0"/>
          <w:rtl/>
        </w:rPr>
        <w:lastRenderedPageBreak/>
        <w:t xml:space="preserve">לידי </w:t>
      </w:r>
      <w:r w:rsidR="00182E5D">
        <w:rPr>
          <w:rFonts w:ascii="Miriam" w:hAnsi="Miriam" w:cs="Miriam" w:hint="cs"/>
          <w:noProof w:val="0"/>
          <w:rtl/>
        </w:rPr>
        <w:t>ה</w:t>
      </w:r>
      <w:r>
        <w:rPr>
          <w:rFonts w:ascii="Miriam" w:hAnsi="Miriam" w:cs="Miriam"/>
          <w:noProof w:val="0"/>
          <w:rtl/>
        </w:rPr>
        <w:t>משיבה</w:t>
      </w:r>
      <w:r>
        <w:rPr>
          <w:rFonts w:ascii="FrankRuehl" w:hAnsi="FrankRuehl" w:cs="FrankRuehl"/>
          <w:noProof w:val="0"/>
          <w:sz w:val="28"/>
          <w:szCs w:val="28"/>
          <w:rtl/>
        </w:rPr>
        <w:t xml:space="preserve">, וכאמור כלל לא הוגשה לערכאה הדיונית בקשה לקיום דיון בהתאם לסעיף 34 לפקודת החיפוש. </w:t>
      </w:r>
    </w:p>
    <w:p w:rsidR="001D5951" w:rsidRDefault="001D5951" w:rsidP="001D5951">
      <w:pPr>
        <w:rPr>
          <w:rFonts w:ascii="FrankRuehl" w:hAnsi="FrankRuehl" w:cs="FrankRuehl"/>
          <w:noProof w:val="0"/>
          <w:sz w:val="28"/>
          <w:szCs w:val="28"/>
          <w:rtl/>
        </w:rPr>
      </w:pPr>
    </w:p>
    <w:p w:rsidR="001D5951" w:rsidRDefault="001D5951" w:rsidP="001D5951">
      <w:pPr>
        <w:spacing w:line="360" w:lineRule="auto"/>
        <w:jc w:val="both"/>
        <w:rPr>
          <w:rFonts w:ascii="FrankRuehl" w:hAnsi="FrankRuehl" w:cs="FrankRuehl"/>
          <w:noProof w:val="0"/>
          <w:sz w:val="28"/>
          <w:szCs w:val="28"/>
          <w:rtl/>
        </w:rPr>
      </w:pPr>
      <w:r>
        <w:rPr>
          <w:rFonts w:ascii="FrankRuehl" w:hAnsi="FrankRuehl" w:cs="FrankRuehl"/>
          <w:noProof w:val="0"/>
          <w:sz w:val="28"/>
          <w:szCs w:val="28"/>
          <w:rtl/>
        </w:rPr>
        <w:t>12.</w:t>
      </w:r>
      <w:r>
        <w:rPr>
          <w:rFonts w:ascii="FrankRuehl" w:hAnsi="FrankRuehl" w:cs="FrankRuehl"/>
          <w:noProof w:val="0"/>
          <w:sz w:val="28"/>
          <w:szCs w:val="28"/>
          <w:rtl/>
        </w:rPr>
        <w:tab/>
        <w:t xml:space="preserve">ואולם, גם אילו הייתה מוגשת לבית משפט קמא בקשה כאמור, לא היה בה כדי לסייע לעוררת </w:t>
      </w:r>
      <w:r>
        <w:rPr>
          <w:rFonts w:ascii="Miriam" w:hAnsi="Miriam" w:cs="Miriam"/>
          <w:noProof w:val="0"/>
          <w:rtl/>
        </w:rPr>
        <w:t>בשלב בו הוגשה</w:t>
      </w:r>
      <w:r>
        <w:rPr>
          <w:rFonts w:ascii="FrankRuehl" w:hAnsi="FrankRuehl" w:cs="FrankRuehl"/>
          <w:noProof w:val="0"/>
          <w:sz w:val="28"/>
          <w:szCs w:val="28"/>
          <w:rtl/>
        </w:rPr>
        <w:t xml:space="preserve">, בהינתן הקביעות המפורשות ששללו את אפשרות ה"תקיפה העקיפה" של הצווים בדרך זו, ובשים לב לנימוקים השונים שניתנו לכך בדנ"פ </w:t>
      </w:r>
      <w:r w:rsidRPr="00F2301A">
        <w:rPr>
          <w:rFonts w:ascii="Miriam" w:hAnsi="Miriam" w:cs="Miriam"/>
          <w:noProof w:val="0"/>
          <w:rtl/>
        </w:rPr>
        <w:t>אוריך</w:t>
      </w:r>
      <w:r>
        <w:rPr>
          <w:rFonts w:ascii="FrankRuehl" w:hAnsi="FrankRuehl" w:cs="FrankRuehl"/>
          <w:noProof w:val="0"/>
          <w:sz w:val="28"/>
          <w:szCs w:val="28"/>
          <w:rtl/>
        </w:rPr>
        <w:t xml:space="preserve">. </w:t>
      </w:r>
    </w:p>
    <w:p w:rsidR="001D5951" w:rsidRDefault="001D5951" w:rsidP="001D5951">
      <w:pPr>
        <w:rPr>
          <w:rFonts w:ascii="FrankRuehl" w:hAnsi="FrankRuehl" w:cs="FrankRuehl"/>
          <w:noProof w:val="0"/>
          <w:sz w:val="28"/>
          <w:szCs w:val="28"/>
          <w:rtl/>
        </w:rPr>
      </w:pPr>
    </w:p>
    <w:p w:rsidR="001D5951" w:rsidRDefault="001D5951" w:rsidP="001D5951">
      <w:pPr>
        <w:rPr>
          <w:rFonts w:ascii="FrankRuehl" w:hAnsi="FrankRuehl" w:cs="FrankRuehl"/>
          <w:noProof w:val="0"/>
          <w:sz w:val="28"/>
          <w:szCs w:val="28"/>
          <w:rtl/>
        </w:rPr>
      </w:pPr>
      <w:r>
        <w:rPr>
          <w:rFonts w:ascii="FrankRuehl" w:hAnsi="FrankRuehl" w:cs="FrankRuehl"/>
          <w:noProof w:val="0"/>
          <w:sz w:val="28"/>
          <w:szCs w:val="28"/>
          <w:rtl/>
        </w:rPr>
        <w:t xml:space="preserve">עמדה על כך הנשיאה </w:t>
      </w:r>
      <w:r w:rsidRPr="001A3818">
        <w:rPr>
          <w:rFonts w:ascii="Miriam" w:hAnsi="Miriam" w:cs="Miriam"/>
          <w:noProof w:val="0"/>
          <w:rtl/>
        </w:rPr>
        <w:t>חיות</w:t>
      </w:r>
      <w:r>
        <w:rPr>
          <w:rFonts w:ascii="FrankRuehl" w:hAnsi="FrankRuehl" w:cs="FrankRuehl"/>
          <w:noProof w:val="0"/>
          <w:sz w:val="28"/>
          <w:szCs w:val="28"/>
          <w:rtl/>
        </w:rPr>
        <w:t xml:space="preserve"> (</w:t>
      </w:r>
      <w:r w:rsidR="001A3818">
        <w:rPr>
          <w:rFonts w:ascii="FrankRuehl" w:hAnsi="FrankRuehl" w:cs="FrankRuehl"/>
          <w:noProof w:val="0"/>
          <w:sz w:val="28"/>
          <w:szCs w:val="28"/>
          <w:rtl/>
        </w:rPr>
        <w:t xml:space="preserve">דנ"פ </w:t>
      </w:r>
      <w:r w:rsidR="001A3818">
        <w:rPr>
          <w:rFonts w:ascii="Miriam" w:hAnsi="Miriam" w:cs="Miriam"/>
          <w:noProof w:val="0"/>
          <w:rtl/>
        </w:rPr>
        <w:t>אוריך</w:t>
      </w:r>
      <w:r w:rsidR="001A3818">
        <w:rPr>
          <w:rFonts w:ascii="FrankRuehl" w:hAnsi="FrankRuehl" w:cs="FrankRuehl"/>
          <w:noProof w:val="0"/>
          <w:sz w:val="28"/>
          <w:szCs w:val="28"/>
          <w:rtl/>
        </w:rPr>
        <w:t xml:space="preserve"> </w:t>
      </w:r>
      <w:r>
        <w:rPr>
          <w:rFonts w:ascii="FrankRuehl" w:hAnsi="FrankRuehl" w:cs="FrankRuehl"/>
          <w:noProof w:val="0"/>
          <w:sz w:val="28"/>
          <w:szCs w:val="28"/>
          <w:rtl/>
        </w:rPr>
        <w:t>בפסקה 82):</w:t>
      </w:r>
    </w:p>
    <w:p w:rsidR="00B32BDD" w:rsidRDefault="00B32BDD" w:rsidP="001D5951">
      <w:pPr>
        <w:rPr>
          <w:rFonts w:ascii="FrankRuehl" w:hAnsi="FrankRuehl" w:cs="FrankRuehl"/>
          <w:noProof w:val="0"/>
          <w:sz w:val="28"/>
          <w:szCs w:val="28"/>
          <w:rtl/>
        </w:rPr>
      </w:pPr>
    </w:p>
    <w:p w:rsidR="001D5951" w:rsidRDefault="001D5951" w:rsidP="001D5951">
      <w:pPr>
        <w:rPr>
          <w:rFonts w:ascii="FrankRuehl" w:hAnsi="FrankRuehl" w:cs="FrankRuehl"/>
          <w:noProof w:val="0"/>
          <w:sz w:val="28"/>
          <w:szCs w:val="28"/>
          <w:rtl/>
        </w:rPr>
      </w:pPr>
    </w:p>
    <w:p w:rsidR="001D5951" w:rsidRPr="00D177F3" w:rsidRDefault="001D5951" w:rsidP="001D5951">
      <w:pPr>
        <w:pStyle w:val="Ruller40"/>
        <w:tabs>
          <w:tab w:val="num" w:pos="907"/>
        </w:tabs>
        <w:ind w:left="720" w:right="567"/>
        <w:textAlignment w:val="baseline"/>
        <w:rPr>
          <w:spacing w:val="0"/>
          <w:rtl/>
        </w:rPr>
      </w:pPr>
      <w:r w:rsidRPr="00D177F3">
        <w:rPr>
          <w:spacing w:val="0"/>
          <w:rtl/>
        </w:rPr>
        <w:t xml:space="preserve">"בפתח הדברים אציין כי מן הטעמים שפורטו בדעת הרוב בעניין </w:t>
      </w:r>
      <w:r w:rsidRPr="00D177F3">
        <w:rPr>
          <w:rFonts w:ascii="Century" w:hAnsi="Century" w:cs="Miriam"/>
          <w:b/>
          <w:spacing w:val="0"/>
          <w:szCs w:val="24"/>
          <w:rtl/>
        </w:rPr>
        <w:t>שמעון</w:t>
      </w:r>
      <w:r w:rsidRPr="00D177F3">
        <w:rPr>
          <w:spacing w:val="0"/>
          <w:rtl/>
        </w:rPr>
        <w:t xml:space="preserve">, וכן מטעמים נוספים שאותם אפרט להלן, מקובלת עליי עמדת חבריי השופט (כתוארו אז) </w:t>
      </w:r>
      <w:r w:rsidRPr="00D177F3">
        <w:rPr>
          <w:rFonts w:ascii="Century" w:hAnsi="Century" w:cs="Miriam"/>
          <w:b/>
          <w:spacing w:val="0"/>
          <w:szCs w:val="24"/>
          <w:rtl/>
        </w:rPr>
        <w:t>הנדל</w:t>
      </w:r>
      <w:r w:rsidRPr="00D177F3">
        <w:rPr>
          <w:spacing w:val="0"/>
          <w:rtl/>
        </w:rPr>
        <w:t xml:space="preserve"> והשופטת </w:t>
      </w:r>
      <w:r w:rsidRPr="00D177F3">
        <w:rPr>
          <w:rFonts w:ascii="Century" w:hAnsi="Century" w:cs="Miriam"/>
          <w:b/>
          <w:spacing w:val="0"/>
          <w:szCs w:val="24"/>
          <w:rtl/>
        </w:rPr>
        <w:t>ברון</w:t>
      </w:r>
      <w:r w:rsidRPr="00D177F3">
        <w:rPr>
          <w:spacing w:val="0"/>
          <w:rtl/>
        </w:rPr>
        <w:t xml:space="preserve"> לפיה אין מקום להכיר בזכות ערעור או ערר על החלטה בבקשה לצו חיפוש במחשב. כמו כן, בדומה לחברי השופט (כתוארו אז) </w:t>
      </w:r>
      <w:r w:rsidRPr="00D177F3">
        <w:rPr>
          <w:rFonts w:ascii="Century" w:hAnsi="Century" w:cs="Miriam"/>
          <w:b/>
          <w:spacing w:val="0"/>
          <w:szCs w:val="24"/>
          <w:rtl/>
        </w:rPr>
        <w:t>הנדל</w:t>
      </w:r>
      <w:r w:rsidRPr="00D177F3">
        <w:rPr>
          <w:spacing w:val="0"/>
          <w:rtl/>
        </w:rPr>
        <w:t xml:space="preserve">, אינני סבורה כי ניתן לעשות שימוש בבקשה להחזרת תפוס או בערר הנוגע להחזרת תפוס (לפי </w:t>
      </w:r>
      <w:hyperlink r:id="rId13" w:history="1">
        <w:r w:rsidRPr="00D177F3">
          <w:rPr>
            <w:rStyle w:val="Hyperlink"/>
            <w:color w:val="auto"/>
            <w:spacing w:val="0"/>
            <w:u w:val="none"/>
            <w:rtl/>
          </w:rPr>
          <w:t>סעיפים 34</w:t>
        </w:r>
      </w:hyperlink>
      <w:r w:rsidRPr="00D177F3">
        <w:rPr>
          <w:spacing w:val="0"/>
          <w:rtl/>
        </w:rPr>
        <w:t xml:space="preserve"> </w:t>
      </w:r>
      <w:r w:rsidRPr="00D177F3">
        <w:rPr>
          <w:rFonts w:hint="cs"/>
          <w:spacing w:val="0"/>
          <w:rtl/>
        </w:rPr>
        <w:t>ו-</w:t>
      </w:r>
      <w:hyperlink r:id="rId14" w:history="1">
        <w:r w:rsidRPr="00D177F3">
          <w:rPr>
            <w:rStyle w:val="Hyperlink"/>
            <w:color w:val="auto"/>
            <w:spacing w:val="0"/>
            <w:u w:val="none"/>
            <w:rtl/>
          </w:rPr>
          <w:t>38א</w:t>
        </w:r>
      </w:hyperlink>
      <w:r w:rsidRPr="00D177F3">
        <w:rPr>
          <w:spacing w:val="0"/>
          <w:rtl/>
        </w:rPr>
        <w:t xml:space="preserve"> </w:t>
      </w:r>
      <w:r w:rsidRPr="00D177F3">
        <w:rPr>
          <w:rFonts w:hint="cs"/>
          <w:spacing w:val="0"/>
          <w:rtl/>
        </w:rPr>
        <w:t>לפקודה) כהליך השגה עקיף על צו החיפוש. לבסוף, לגישתי אף אין מקום לאפשר הגשת בקשה לביטול ההחלטה לבית המשפט שנתן את הצו."</w:t>
      </w:r>
    </w:p>
    <w:p w:rsidR="001D5951" w:rsidRDefault="001D5951" w:rsidP="001D5951">
      <w:pPr>
        <w:rPr>
          <w:rFonts w:ascii="FrankRuehl" w:hAnsi="FrankRuehl" w:cs="FrankRuehl"/>
          <w:noProof w:val="0"/>
          <w:sz w:val="28"/>
          <w:szCs w:val="28"/>
          <w:rtl/>
        </w:rPr>
      </w:pPr>
    </w:p>
    <w:p w:rsidR="001D5951" w:rsidRDefault="001D5951" w:rsidP="001D5951">
      <w:pPr>
        <w:ind w:firstLine="720"/>
        <w:rPr>
          <w:rFonts w:ascii="FrankRuehl" w:hAnsi="FrankRuehl" w:cs="FrankRuehl"/>
          <w:noProof w:val="0"/>
          <w:sz w:val="28"/>
          <w:szCs w:val="28"/>
          <w:rtl/>
        </w:rPr>
      </w:pPr>
      <w:r>
        <w:rPr>
          <w:rFonts w:ascii="FrankRuehl" w:hAnsi="FrankRuehl" w:cs="FrankRuehl"/>
          <w:noProof w:val="0"/>
          <w:sz w:val="28"/>
          <w:szCs w:val="28"/>
          <w:rtl/>
        </w:rPr>
        <w:t>ובהמשך (</w:t>
      </w:r>
      <w:r w:rsidR="001A3818">
        <w:rPr>
          <w:rFonts w:ascii="FrankRuehl" w:hAnsi="FrankRuehl" w:cs="FrankRuehl"/>
          <w:noProof w:val="0"/>
          <w:sz w:val="28"/>
          <w:szCs w:val="28"/>
          <w:rtl/>
        </w:rPr>
        <w:t xml:space="preserve">דנ"פ </w:t>
      </w:r>
      <w:r w:rsidR="001A3818">
        <w:rPr>
          <w:rFonts w:ascii="Miriam" w:hAnsi="Miriam" w:cs="Miriam"/>
          <w:noProof w:val="0"/>
          <w:rtl/>
        </w:rPr>
        <w:t>אוריך</w:t>
      </w:r>
      <w:r w:rsidR="001A3818">
        <w:rPr>
          <w:rFonts w:ascii="FrankRuehl" w:hAnsi="FrankRuehl" w:cs="FrankRuehl"/>
          <w:noProof w:val="0"/>
          <w:sz w:val="28"/>
          <w:szCs w:val="28"/>
          <w:rtl/>
        </w:rPr>
        <w:t xml:space="preserve"> </w:t>
      </w:r>
      <w:r>
        <w:rPr>
          <w:rFonts w:ascii="FrankRuehl" w:hAnsi="FrankRuehl" w:cs="FrankRuehl"/>
          <w:noProof w:val="0"/>
          <w:sz w:val="28"/>
          <w:szCs w:val="28"/>
          <w:rtl/>
        </w:rPr>
        <w:t xml:space="preserve">פסקה 92): </w:t>
      </w:r>
    </w:p>
    <w:p w:rsidR="001D5951" w:rsidRDefault="001D5951" w:rsidP="001D5951">
      <w:pPr>
        <w:spacing w:line="360" w:lineRule="auto"/>
        <w:ind w:firstLine="720"/>
        <w:jc w:val="both"/>
        <w:rPr>
          <w:rFonts w:ascii="FrankRuehl" w:hAnsi="FrankRuehl" w:cs="FrankRuehl"/>
          <w:noProof w:val="0"/>
          <w:sz w:val="28"/>
          <w:szCs w:val="28"/>
          <w:rtl/>
        </w:rPr>
      </w:pPr>
    </w:p>
    <w:p w:rsidR="001D5951" w:rsidRPr="00D177F3" w:rsidRDefault="001D5951" w:rsidP="001D5951">
      <w:pPr>
        <w:pStyle w:val="Ruller40"/>
        <w:tabs>
          <w:tab w:val="num" w:pos="907"/>
        </w:tabs>
        <w:ind w:left="720" w:right="567"/>
        <w:textAlignment w:val="baseline"/>
        <w:rPr>
          <w:spacing w:val="0"/>
          <w:rtl/>
        </w:rPr>
      </w:pPr>
      <w:r w:rsidRPr="00D177F3">
        <w:rPr>
          <w:spacing w:val="0"/>
          <w:rtl/>
        </w:rPr>
        <w:t xml:space="preserve">"טעמים המצדיקים אי-הכרה בזכות להגיש ערעור או ערר על החלטה בבקשה לצו חיפוש במחשב, יפים גם בהקשר זה. משהגעתי למסקנה כי אין מקום לעכב את ביצוע החיפוש באמצעות הליך השגה ישיר, אין מקום לעשות כן גם באופן עקיף, תוך שימוש בהליכים שלא נועדו לאפשר דיון בהשגות על צווי חיפוש, ואשר סדרי הדין לגביהם מעוגנים בפרקים אחרים בפקודת החיפוש" </w:t>
      </w:r>
    </w:p>
    <w:p w:rsidR="001D5951" w:rsidRDefault="001D5951" w:rsidP="001D5951">
      <w:pPr>
        <w:rPr>
          <w:rFonts w:ascii="FrankRuehl" w:hAnsi="FrankRuehl" w:cs="FrankRuehl"/>
          <w:noProof w:val="0"/>
          <w:sz w:val="28"/>
          <w:szCs w:val="28"/>
          <w:rtl/>
        </w:rPr>
      </w:pPr>
    </w:p>
    <w:p w:rsidR="001D5951" w:rsidRDefault="001D5951" w:rsidP="00F2301A">
      <w:pPr>
        <w:ind w:firstLine="720"/>
        <w:rPr>
          <w:rFonts w:ascii="FrankRuehl" w:hAnsi="FrankRuehl" w:cs="FrankRuehl"/>
          <w:noProof w:val="0"/>
          <w:sz w:val="28"/>
          <w:szCs w:val="28"/>
          <w:rtl/>
        </w:rPr>
      </w:pPr>
      <w:r>
        <w:rPr>
          <w:rFonts w:ascii="FrankRuehl" w:hAnsi="FrankRuehl" w:cs="FrankRuehl"/>
          <w:noProof w:val="0"/>
          <w:sz w:val="28"/>
          <w:szCs w:val="28"/>
          <w:rtl/>
        </w:rPr>
        <w:t>אשר לנימוקים להחלת כלל זה, הרי שאף הם מתקיימים בענייננו:</w:t>
      </w:r>
    </w:p>
    <w:p w:rsidR="001D5951" w:rsidRDefault="001D5951" w:rsidP="001D5951">
      <w:pPr>
        <w:rPr>
          <w:rFonts w:ascii="FrankRuehl" w:hAnsi="FrankRuehl" w:cs="FrankRuehl"/>
          <w:noProof w:val="0"/>
          <w:sz w:val="28"/>
          <w:szCs w:val="28"/>
          <w:rtl/>
        </w:rPr>
      </w:pPr>
    </w:p>
    <w:p w:rsidR="001D5951" w:rsidRDefault="001D5951" w:rsidP="001D5951">
      <w:pPr>
        <w:spacing w:line="360" w:lineRule="auto"/>
        <w:ind w:firstLine="720"/>
        <w:jc w:val="both"/>
        <w:rPr>
          <w:rFonts w:ascii="FrankRuehl" w:hAnsi="FrankRuehl" w:cs="FrankRuehl"/>
          <w:noProof w:val="0"/>
          <w:sz w:val="28"/>
          <w:szCs w:val="28"/>
          <w:rtl/>
        </w:rPr>
      </w:pPr>
      <w:r>
        <w:rPr>
          <w:rFonts w:ascii="FrankRuehl" w:hAnsi="FrankRuehl" w:cs="FrankRuehl"/>
          <w:noProof w:val="0"/>
          <w:sz w:val="28"/>
          <w:szCs w:val="28"/>
          <w:rtl/>
        </w:rPr>
        <w:t>האחד, נוגע לחשש לפגיעה בחקירה, זאת מן הטעם שמתן אפשרות להשיג על צו החיפוש בדרך זו, עלול לפתוח פתח רחב למעורבותם של נחקרים נוספים ושל צדדים שלישיים, באופן בו "</w:t>
      </w:r>
      <w:r>
        <w:rPr>
          <w:rFonts w:ascii="Miriam" w:hAnsi="Miriam" w:cs="Miriam"/>
          <w:noProof w:val="0"/>
          <w:rtl/>
        </w:rPr>
        <w:t>ניתן להניח כי כל בקשה להשבת תפוס תהפוך גם להשגה על צו חיפוש פוטנציאלי</w:t>
      </w:r>
      <w:r>
        <w:rPr>
          <w:rFonts w:ascii="FrankRuehl" w:hAnsi="FrankRuehl" w:cs="FrankRuehl"/>
          <w:noProof w:val="0"/>
          <w:sz w:val="28"/>
          <w:szCs w:val="28"/>
          <w:rtl/>
        </w:rPr>
        <w:t xml:space="preserve">". אף מהבחינה הפרקטית, הובע החשש שמא לנוכח ריבוי הבקשות לצווי חיפוש אשר ניתנים מידי יום </w:t>
      </w:r>
      <w:r>
        <w:rPr>
          <w:rFonts w:ascii="FrankRuehl" w:hAnsi="FrankRuehl" w:cs="FrankRuehl"/>
          <w:noProof w:val="0"/>
          <w:sz w:val="28"/>
          <w:szCs w:val="28"/>
          <w:rtl/>
        </w:rPr>
        <w:lastRenderedPageBreak/>
        <w:t>בבתי משפט השלום, ריבוי בקשות להחזרת תפוס עלול להוביל לכך שמותבים שונים באותה ערכאה ימצאו עצמם משמשים מעין "ערכאת ערעור בפועל" זה על זה, מצב שהוא "אינו רצוי ואינו ראוי".</w:t>
      </w:r>
    </w:p>
    <w:p w:rsidR="001D5951" w:rsidRDefault="001D5951" w:rsidP="001D5951">
      <w:pPr>
        <w:rPr>
          <w:rFonts w:ascii="FrankRuehl" w:hAnsi="FrankRuehl" w:cs="FrankRuehl"/>
          <w:noProof w:val="0"/>
          <w:sz w:val="28"/>
          <w:szCs w:val="28"/>
          <w:rtl/>
        </w:rPr>
      </w:pPr>
    </w:p>
    <w:p w:rsidR="001D5951" w:rsidRDefault="001D5951" w:rsidP="001D5951">
      <w:pPr>
        <w:spacing w:line="360" w:lineRule="auto"/>
        <w:ind w:firstLine="720"/>
        <w:jc w:val="both"/>
        <w:rPr>
          <w:rFonts w:ascii="FrankRuehl" w:hAnsi="FrankRuehl" w:cs="FrankRuehl"/>
          <w:noProof w:val="0"/>
          <w:sz w:val="28"/>
          <w:szCs w:val="28"/>
          <w:rtl/>
        </w:rPr>
      </w:pPr>
      <w:r>
        <w:rPr>
          <w:rFonts w:ascii="FrankRuehl" w:hAnsi="FrankRuehl" w:cs="FrankRuehl"/>
          <w:noProof w:val="0"/>
          <w:sz w:val="28"/>
          <w:szCs w:val="28"/>
          <w:rtl/>
        </w:rPr>
        <w:t>הנימוק השני מתבסס על ההבדל בין אופייה ה"אזרחי" של החלטה הנוגעת לבקשה להשבת חפץ תפוס, לבין אופיים של הליכי החיפוש, הנמצאים "</w:t>
      </w:r>
      <w:r>
        <w:rPr>
          <w:rFonts w:ascii="Miriam" w:hAnsi="Miriam" w:cs="Miriam"/>
          <w:noProof w:val="0"/>
          <w:rtl/>
        </w:rPr>
        <w:t>בליבת ההליך הפלילי אשר מתמקדים בשאלה אם יש לאפשר לחוקרים לאסוף מידע מן החפץ במסגרת חקירה – בין אם יש צורך בתפיסת החפץ ובין אם לאו – על מנת לקדם את חקר האמת ולהשלים את התצרף הראייתי</w:t>
      </w:r>
      <w:r>
        <w:rPr>
          <w:rFonts w:ascii="FrankRuehl" w:hAnsi="FrankRuehl" w:cs="FrankRuehl"/>
          <w:noProof w:val="0"/>
          <w:sz w:val="28"/>
          <w:szCs w:val="28"/>
          <w:rtl/>
        </w:rPr>
        <w:t xml:space="preserve">" (דנ"פ </w:t>
      </w:r>
      <w:r>
        <w:rPr>
          <w:rFonts w:ascii="Miriam" w:hAnsi="Miriam" w:cs="Miriam"/>
          <w:noProof w:val="0"/>
          <w:rtl/>
        </w:rPr>
        <w:t>אוריך</w:t>
      </w:r>
      <w:r>
        <w:rPr>
          <w:rFonts w:ascii="FrankRuehl" w:hAnsi="FrankRuehl" w:cs="FrankRuehl"/>
          <w:noProof w:val="0"/>
          <w:sz w:val="28"/>
          <w:szCs w:val="28"/>
          <w:rtl/>
        </w:rPr>
        <w:t xml:space="preserve"> פסקה 93). ודוק, במקרה שלפנינו אין מדובר בבקשה להשיב תפוסים בעלי זיקה אזרחית, אלא שמדובר בבקשת העוררת לקבל חזרה לידיה </w:t>
      </w:r>
      <w:r>
        <w:rPr>
          <w:rFonts w:ascii="Miriam" w:hAnsi="Miriam" w:cs="Miriam"/>
          <w:noProof w:val="0"/>
          <w:rtl/>
        </w:rPr>
        <w:t>מסמכים</w:t>
      </w:r>
      <w:r>
        <w:rPr>
          <w:rFonts w:ascii="FrankRuehl" w:hAnsi="FrankRuehl" w:cs="FrankRuehl"/>
          <w:noProof w:val="0"/>
          <w:sz w:val="28"/>
          <w:szCs w:val="28"/>
          <w:rtl/>
        </w:rPr>
        <w:t xml:space="preserve"> העומדים לכאורה בבסיס החקירה המתנהלת.</w:t>
      </w:r>
    </w:p>
    <w:p w:rsidR="001D5951" w:rsidRDefault="001D5951" w:rsidP="001D5951">
      <w:pPr>
        <w:rPr>
          <w:rFonts w:ascii="FrankRuehl" w:hAnsi="FrankRuehl" w:cs="FrankRuehl"/>
          <w:noProof w:val="0"/>
          <w:sz w:val="28"/>
          <w:szCs w:val="28"/>
          <w:rtl/>
        </w:rPr>
      </w:pPr>
    </w:p>
    <w:p w:rsidR="001D5951" w:rsidRDefault="001D5951" w:rsidP="001D5951">
      <w:pPr>
        <w:spacing w:line="360" w:lineRule="auto"/>
        <w:ind w:firstLine="720"/>
        <w:jc w:val="both"/>
        <w:rPr>
          <w:rFonts w:ascii="FrankRuehl" w:hAnsi="FrankRuehl" w:cs="FrankRuehl"/>
          <w:noProof w:val="0"/>
          <w:sz w:val="28"/>
          <w:szCs w:val="28"/>
        </w:rPr>
      </w:pPr>
      <w:r>
        <w:rPr>
          <w:rFonts w:ascii="FrankRuehl" w:hAnsi="FrankRuehl" w:cs="FrankRuehl"/>
          <w:noProof w:val="0"/>
          <w:sz w:val="28"/>
          <w:szCs w:val="28"/>
          <w:rtl/>
        </w:rPr>
        <w:t>הנימוק השלישי כאילו חזה מראש את נסיבות המקרה שלפנינו, ושלל את טענת ב"כ העוררת לפיה קיימת חפיפה בין נושא החיפוש לנושא התפיסה. על פי טענה זו, ככל שאין עילה לעריכת החיפוש, הרי שבהכרח אין עילה לתפסו, ומכאן שאין מניעה לאחד את הדיון בשתי הסוגיות במסגרת הליכים להחזרת תפוס. כאמור, הנחת יסוד זו נדחתה, בהינתן התכליות השונות לשמן מתבקשת תפיסת חפץ: ראייתית, מניעתית ואפשרות לחילוט עתידי. לפיכך, נקבע ש"</w:t>
      </w:r>
      <w:r>
        <w:rPr>
          <w:rFonts w:ascii="Miriam" w:hAnsi="Miriam" w:cs="Miriam"/>
          <w:noProof w:val="0"/>
          <w:rtl/>
        </w:rPr>
        <w:t>חיפוש לחוד, ותפיסה לחוד: טענות נגד צו חיפוש מהוות נטע זר בהליכים לפי סעיפים 34 ו-38א לפקודה, ואין מקום לערב מין בשאינו מינו ולאפשר השגה עקיפה על צו חיפוש במחשב במסגרת הליכי החזרת תפוס</w:t>
      </w:r>
      <w:r>
        <w:rPr>
          <w:rFonts w:ascii="FrankRuehl" w:hAnsi="FrankRuehl" w:cs="FrankRuehl"/>
          <w:noProof w:val="0"/>
          <w:sz w:val="28"/>
          <w:szCs w:val="28"/>
          <w:rtl/>
        </w:rPr>
        <w:t xml:space="preserve">" (דנ"פ </w:t>
      </w:r>
      <w:r>
        <w:rPr>
          <w:rFonts w:ascii="Miriam" w:hAnsi="Miriam" w:cs="Miriam"/>
          <w:noProof w:val="0"/>
          <w:rtl/>
        </w:rPr>
        <w:t>אוריך</w:t>
      </w:r>
      <w:r>
        <w:rPr>
          <w:rFonts w:ascii="FrankRuehl" w:hAnsi="FrankRuehl" w:cs="FrankRuehl"/>
          <w:noProof w:val="0"/>
          <w:sz w:val="28"/>
          <w:szCs w:val="28"/>
          <w:rtl/>
        </w:rPr>
        <w:t>, פסקה 94).</w:t>
      </w:r>
    </w:p>
    <w:p w:rsidR="001D5951" w:rsidRDefault="001D5951" w:rsidP="001D5951">
      <w:pPr>
        <w:rPr>
          <w:rFonts w:ascii="FrankRuehl" w:hAnsi="FrankRuehl" w:cs="FrankRuehl"/>
          <w:noProof w:val="0"/>
          <w:sz w:val="28"/>
          <w:szCs w:val="28"/>
        </w:rPr>
      </w:pPr>
    </w:p>
    <w:p w:rsidR="001D5951" w:rsidRDefault="001D5951" w:rsidP="003B6F13">
      <w:pPr>
        <w:spacing w:line="360" w:lineRule="auto"/>
        <w:jc w:val="both"/>
        <w:rPr>
          <w:rFonts w:ascii="FrankRuehl" w:hAnsi="FrankRuehl" w:cs="FrankRuehl"/>
          <w:noProof w:val="0"/>
          <w:sz w:val="28"/>
          <w:szCs w:val="28"/>
          <w:rtl/>
        </w:rPr>
      </w:pPr>
      <w:r>
        <w:rPr>
          <w:rFonts w:ascii="FrankRuehl" w:hAnsi="FrankRuehl" w:cs="FrankRuehl"/>
          <w:noProof w:val="0"/>
          <w:sz w:val="28"/>
          <w:szCs w:val="28"/>
          <w:rtl/>
        </w:rPr>
        <w:t>13.</w:t>
      </w:r>
      <w:r>
        <w:rPr>
          <w:rFonts w:ascii="FrankRuehl" w:hAnsi="FrankRuehl" w:cs="FrankRuehl"/>
          <w:noProof w:val="0"/>
          <w:sz w:val="28"/>
          <w:szCs w:val="28"/>
          <w:rtl/>
        </w:rPr>
        <w:tab/>
        <w:t xml:space="preserve">עוד יש לציין, שמאז שניתן פסק הדין בדנ"פ </w:t>
      </w:r>
      <w:r>
        <w:rPr>
          <w:rFonts w:ascii="Miriam" w:hAnsi="Miriam" w:cs="Miriam"/>
          <w:noProof w:val="0"/>
          <w:rtl/>
        </w:rPr>
        <w:t>אוריך</w:t>
      </w:r>
      <w:r>
        <w:rPr>
          <w:rFonts w:ascii="FrankRuehl" w:hAnsi="FrankRuehl" w:cs="FrankRuehl"/>
          <w:noProof w:val="0"/>
          <w:sz w:val="28"/>
          <w:szCs w:val="28"/>
          <w:rtl/>
        </w:rPr>
        <w:t>, יושמו כללים אלו והוטמעו ב</w:t>
      </w:r>
      <w:r w:rsidR="003A6B1F">
        <w:rPr>
          <w:rFonts w:ascii="FrankRuehl" w:hAnsi="FrankRuehl" w:cs="FrankRuehl"/>
          <w:noProof w:val="0"/>
          <w:sz w:val="28"/>
          <w:szCs w:val="28"/>
          <w:rtl/>
        </w:rPr>
        <w:t>ערכאות הדיוניות ובערכאות דלמעלה</w:t>
      </w:r>
      <w:r w:rsidR="003A6B1F">
        <w:rPr>
          <w:rFonts w:ascii="FrankRuehl" w:hAnsi="FrankRuehl" w:cs="FrankRuehl" w:hint="cs"/>
          <w:noProof w:val="0"/>
          <w:sz w:val="28"/>
          <w:szCs w:val="28"/>
          <w:rtl/>
        </w:rPr>
        <w:t>. בחלק מהמקרים</w:t>
      </w:r>
      <w:r>
        <w:rPr>
          <w:rFonts w:ascii="FrankRuehl" w:hAnsi="FrankRuehl" w:cs="FrankRuehl"/>
          <w:noProof w:val="0"/>
          <w:sz w:val="28"/>
          <w:szCs w:val="28"/>
          <w:rtl/>
        </w:rPr>
        <w:t xml:space="preserve"> נדחו </w:t>
      </w:r>
      <w:r w:rsidR="003B6F13">
        <w:rPr>
          <w:rFonts w:ascii="FrankRuehl" w:hAnsi="FrankRuehl" w:cs="FrankRuehl" w:hint="cs"/>
          <w:noProof w:val="0"/>
          <w:sz w:val="28"/>
          <w:szCs w:val="28"/>
          <w:rtl/>
        </w:rPr>
        <w:t>העררים</w:t>
      </w:r>
      <w:r w:rsidR="003A6B1F">
        <w:rPr>
          <w:rFonts w:ascii="FrankRuehl" w:hAnsi="FrankRuehl" w:cs="FrankRuehl" w:hint="cs"/>
          <w:noProof w:val="0"/>
          <w:sz w:val="28"/>
          <w:szCs w:val="28"/>
          <w:rtl/>
        </w:rPr>
        <w:t xml:space="preserve"> </w:t>
      </w:r>
      <w:r>
        <w:rPr>
          <w:rFonts w:ascii="FrankRuehl" w:hAnsi="FrankRuehl" w:cs="FrankRuehl"/>
          <w:noProof w:val="0"/>
          <w:sz w:val="28"/>
          <w:szCs w:val="28"/>
          <w:rtl/>
        </w:rPr>
        <w:t xml:space="preserve">"על הסף" [למשל בבש"פ 1733/23 </w:t>
      </w:r>
      <w:r>
        <w:rPr>
          <w:rFonts w:ascii="Miriam" w:hAnsi="Miriam" w:cs="Miriam"/>
          <w:noProof w:val="0"/>
          <w:rtl/>
        </w:rPr>
        <w:t>סלאימה נ' רשות הטבע והגנים</w:t>
      </w:r>
      <w:r>
        <w:rPr>
          <w:rFonts w:ascii="FrankRuehl" w:hAnsi="FrankRuehl" w:cs="FrankRuehl"/>
          <w:noProof w:val="0"/>
          <w:sz w:val="28"/>
          <w:szCs w:val="28"/>
          <w:rtl/>
        </w:rPr>
        <w:t xml:space="preserve"> (2.3.2023), במסגרתו נדחתה על הסף "בקשת רשות הערעור" על החלטת בית המשפט המחוזי, שדחה אף הוא על הסף את הערר שהוגש על החלטת בית משפט השלום: ע"ח (י-ם) 56328-02-23 </w:t>
      </w:r>
      <w:r>
        <w:rPr>
          <w:rFonts w:ascii="Miriam" w:hAnsi="Miriam" w:cs="Miriam"/>
          <w:noProof w:val="0"/>
          <w:rtl/>
        </w:rPr>
        <w:t>סלאימה נ' רשות הטבע והגנים</w:t>
      </w:r>
      <w:r w:rsidR="003B6F13">
        <w:rPr>
          <w:rFonts w:ascii="FrankRuehl" w:hAnsi="FrankRuehl" w:cs="FrankRuehl"/>
          <w:noProof w:val="0"/>
          <w:sz w:val="28"/>
          <w:szCs w:val="28"/>
          <w:rtl/>
        </w:rPr>
        <w:t xml:space="preserve"> (23.2.2023)]</w:t>
      </w:r>
      <w:r w:rsidR="003B6F13">
        <w:rPr>
          <w:rFonts w:ascii="FrankRuehl" w:hAnsi="FrankRuehl" w:cs="FrankRuehl" w:hint="cs"/>
          <w:noProof w:val="0"/>
          <w:sz w:val="28"/>
          <w:szCs w:val="28"/>
          <w:rtl/>
        </w:rPr>
        <w:t>.</w:t>
      </w:r>
      <w:r>
        <w:rPr>
          <w:rFonts w:ascii="FrankRuehl" w:hAnsi="FrankRuehl" w:cs="FrankRuehl"/>
          <w:noProof w:val="0"/>
          <w:sz w:val="28"/>
          <w:szCs w:val="28"/>
          <w:rtl/>
        </w:rPr>
        <w:t xml:space="preserve"> </w:t>
      </w:r>
      <w:r w:rsidR="003B6F13">
        <w:rPr>
          <w:rFonts w:ascii="FrankRuehl" w:hAnsi="FrankRuehl" w:cs="FrankRuehl" w:hint="cs"/>
          <w:noProof w:val="0"/>
          <w:sz w:val="28"/>
          <w:szCs w:val="28"/>
          <w:rtl/>
        </w:rPr>
        <w:t>במקרים אחרים נדחו</w:t>
      </w:r>
      <w:r>
        <w:rPr>
          <w:rFonts w:ascii="FrankRuehl" w:hAnsi="FrankRuehl" w:cs="FrankRuehl"/>
          <w:noProof w:val="0"/>
          <w:sz w:val="28"/>
          <w:szCs w:val="28"/>
          <w:rtl/>
        </w:rPr>
        <w:t xml:space="preserve"> הערר</w:t>
      </w:r>
      <w:r w:rsidR="003B6F13">
        <w:rPr>
          <w:rFonts w:ascii="FrankRuehl" w:hAnsi="FrankRuehl" w:cs="FrankRuehl" w:hint="cs"/>
          <w:noProof w:val="0"/>
          <w:sz w:val="28"/>
          <w:szCs w:val="28"/>
          <w:rtl/>
        </w:rPr>
        <w:t>ים</w:t>
      </w:r>
      <w:r>
        <w:rPr>
          <w:rFonts w:ascii="FrankRuehl" w:hAnsi="FrankRuehl" w:cs="FrankRuehl"/>
          <w:noProof w:val="0"/>
          <w:sz w:val="28"/>
          <w:szCs w:val="28"/>
          <w:rtl/>
        </w:rPr>
        <w:t xml:space="preserve"> לגופ</w:t>
      </w:r>
      <w:r w:rsidR="003B6F13">
        <w:rPr>
          <w:rFonts w:ascii="FrankRuehl" w:hAnsi="FrankRuehl" w:cs="FrankRuehl" w:hint="cs"/>
          <w:noProof w:val="0"/>
          <w:sz w:val="28"/>
          <w:szCs w:val="28"/>
          <w:rtl/>
        </w:rPr>
        <w:t>ם</w:t>
      </w:r>
      <w:r>
        <w:rPr>
          <w:rFonts w:ascii="FrankRuehl" w:hAnsi="FrankRuehl" w:cs="FrankRuehl"/>
          <w:noProof w:val="0"/>
          <w:sz w:val="28"/>
          <w:szCs w:val="28"/>
          <w:rtl/>
        </w:rPr>
        <w:t xml:space="preserve">, תוך קביעה כי לא הייתה לעורר אפשרות להגיש ערר, לא כל שכן בקשת רשות ערר לבית המשפט העליון [בש"פ 4188/24 </w:t>
      </w:r>
      <w:r>
        <w:rPr>
          <w:rFonts w:ascii="Miriam" w:hAnsi="Miriam" w:cs="Miriam"/>
          <w:noProof w:val="0"/>
          <w:rtl/>
        </w:rPr>
        <w:t>קסטיאל נ' מדינת ישראל</w:t>
      </w:r>
      <w:r>
        <w:rPr>
          <w:rFonts w:ascii="FrankRuehl" w:hAnsi="FrankRuehl" w:cs="FrankRuehl"/>
          <w:noProof w:val="0"/>
          <w:sz w:val="28"/>
          <w:szCs w:val="28"/>
          <w:rtl/>
        </w:rPr>
        <w:t>, פסקה 17 (28.5.2024), שניתן ע</w:t>
      </w:r>
      <w:r w:rsidR="008E1357">
        <w:rPr>
          <w:rFonts w:ascii="FrankRuehl" w:hAnsi="FrankRuehl" w:cs="FrankRuehl"/>
          <w:noProof w:val="0"/>
          <w:sz w:val="28"/>
          <w:szCs w:val="28"/>
          <w:rtl/>
        </w:rPr>
        <w:t>ל החלטת בית המשפט המחוזי בע"ח (</w:t>
      </w:r>
      <w:r>
        <w:rPr>
          <w:rFonts w:ascii="FrankRuehl" w:hAnsi="FrankRuehl" w:cs="FrankRuehl"/>
          <w:noProof w:val="0"/>
          <w:sz w:val="28"/>
          <w:szCs w:val="28"/>
          <w:rtl/>
        </w:rPr>
        <w:t xml:space="preserve">מח' ת"א) 52325-04-24 </w:t>
      </w:r>
      <w:r>
        <w:rPr>
          <w:rFonts w:ascii="Miriam" w:hAnsi="Miriam" w:cs="Miriam"/>
          <w:noProof w:val="0"/>
          <w:rtl/>
        </w:rPr>
        <w:t>קסטיאל נ' מפלג הונאה</w:t>
      </w:r>
      <w:r>
        <w:rPr>
          <w:rFonts w:ascii="FrankRuehl" w:hAnsi="FrankRuehl" w:cs="FrankRuehl"/>
          <w:noProof w:val="0"/>
          <w:sz w:val="28"/>
          <w:szCs w:val="28"/>
          <w:rtl/>
        </w:rPr>
        <w:t xml:space="preserve"> (17.5.2024)].</w:t>
      </w:r>
    </w:p>
    <w:p w:rsidR="001D5951" w:rsidRDefault="001D5951" w:rsidP="001D5951">
      <w:pPr>
        <w:rPr>
          <w:rFonts w:ascii="FrankRuehl" w:hAnsi="FrankRuehl" w:cs="FrankRuehl"/>
          <w:noProof w:val="0"/>
          <w:sz w:val="28"/>
          <w:szCs w:val="28"/>
          <w:rtl/>
        </w:rPr>
      </w:pPr>
    </w:p>
    <w:p w:rsidR="001D5951" w:rsidRDefault="001D5951" w:rsidP="001D5951">
      <w:pPr>
        <w:spacing w:line="360" w:lineRule="auto"/>
        <w:jc w:val="both"/>
        <w:rPr>
          <w:rFonts w:ascii="FrankRuehl" w:hAnsi="FrankRuehl" w:cs="FrankRuehl"/>
          <w:noProof w:val="0"/>
          <w:sz w:val="28"/>
          <w:szCs w:val="28"/>
          <w:rtl/>
        </w:rPr>
      </w:pPr>
      <w:r>
        <w:rPr>
          <w:rFonts w:ascii="FrankRuehl" w:hAnsi="FrankRuehl" w:cs="FrankRuehl"/>
          <w:noProof w:val="0"/>
          <w:sz w:val="28"/>
          <w:szCs w:val="28"/>
          <w:rtl/>
        </w:rPr>
        <w:lastRenderedPageBreak/>
        <w:t>14.</w:t>
      </w:r>
      <w:r>
        <w:rPr>
          <w:rFonts w:ascii="FrankRuehl" w:hAnsi="FrankRuehl" w:cs="FrankRuehl"/>
          <w:noProof w:val="0"/>
          <w:sz w:val="28"/>
          <w:szCs w:val="28"/>
          <w:rtl/>
        </w:rPr>
        <w:tab/>
        <w:t xml:space="preserve">לסיכום נקודה זו – אין חולק על כך שדנ"פ </w:t>
      </w:r>
      <w:r>
        <w:rPr>
          <w:rFonts w:ascii="Miriam" w:hAnsi="Miriam" w:cs="Miriam"/>
          <w:noProof w:val="0"/>
          <w:rtl/>
        </w:rPr>
        <w:t>אוריך</w:t>
      </w:r>
      <w:r>
        <w:rPr>
          <w:rFonts w:ascii="FrankRuehl" w:hAnsi="FrankRuehl" w:cs="FrankRuehl"/>
          <w:noProof w:val="0"/>
          <w:sz w:val="28"/>
          <w:szCs w:val="28"/>
          <w:rtl/>
        </w:rPr>
        <w:t xml:space="preserve"> לא בא לבטל את סעיפים 34 ו-38א לפסד"פ. אלא, שככל שמבקש מאן דהוא לצעוד בנתיב זה, הרי שעל הדבר להיעשות </w:t>
      </w:r>
      <w:r>
        <w:rPr>
          <w:rFonts w:ascii="Miriam" w:hAnsi="Miriam" w:cs="Miriam"/>
          <w:noProof w:val="0"/>
          <w:rtl/>
        </w:rPr>
        <w:t>במנותק</w:t>
      </w:r>
      <w:r>
        <w:rPr>
          <w:rFonts w:ascii="FrankRuehl" w:hAnsi="FrankRuehl" w:cs="FrankRuehl"/>
          <w:noProof w:val="0"/>
          <w:sz w:val="28"/>
          <w:szCs w:val="28"/>
          <w:rtl/>
        </w:rPr>
        <w:t xml:space="preserve"> מהליך החיפוש, ורק לאחר שיתאפשר ליחידה החוקרת </w:t>
      </w:r>
      <w:r>
        <w:rPr>
          <w:rFonts w:ascii="Miriam" w:hAnsi="Miriam" w:cs="Miriam"/>
          <w:noProof w:val="0"/>
          <w:rtl/>
        </w:rPr>
        <w:t>לעיין במוצג שנתפס</w:t>
      </w:r>
      <w:r>
        <w:rPr>
          <w:rFonts w:ascii="FrankRuehl" w:hAnsi="FrankRuehl" w:cs="FrankRuehl"/>
          <w:noProof w:val="0"/>
          <w:sz w:val="28"/>
          <w:szCs w:val="28"/>
          <w:rtl/>
        </w:rPr>
        <w:t xml:space="preserve"> ולחוות דעתה האם הוא נחוץ לה כראייה בתיק החקירה.</w:t>
      </w:r>
    </w:p>
    <w:p w:rsidR="001D5951" w:rsidRDefault="001D5951" w:rsidP="001D5951">
      <w:pPr>
        <w:rPr>
          <w:rFonts w:ascii="FrankRuehl" w:hAnsi="FrankRuehl" w:cs="FrankRuehl"/>
          <w:noProof w:val="0"/>
          <w:sz w:val="28"/>
          <w:szCs w:val="28"/>
          <w:rtl/>
        </w:rPr>
      </w:pPr>
    </w:p>
    <w:p w:rsidR="001D5951" w:rsidRDefault="001D5951" w:rsidP="001D5951">
      <w:pPr>
        <w:spacing w:line="360" w:lineRule="auto"/>
        <w:jc w:val="both"/>
        <w:rPr>
          <w:rFonts w:ascii="FrankRuehl" w:hAnsi="FrankRuehl" w:cs="FrankRuehl"/>
          <w:noProof w:val="0"/>
          <w:sz w:val="28"/>
          <w:szCs w:val="28"/>
          <w:rtl/>
        </w:rPr>
      </w:pPr>
      <w:r>
        <w:rPr>
          <w:rFonts w:ascii="FrankRuehl" w:hAnsi="FrankRuehl" w:cs="FrankRuehl"/>
          <w:noProof w:val="0"/>
          <w:sz w:val="28"/>
          <w:szCs w:val="28"/>
          <w:rtl/>
        </w:rPr>
        <w:t>15.</w:t>
      </w:r>
      <w:r>
        <w:rPr>
          <w:rFonts w:ascii="FrankRuehl" w:hAnsi="FrankRuehl" w:cs="FrankRuehl"/>
          <w:noProof w:val="0"/>
          <w:sz w:val="28"/>
          <w:szCs w:val="28"/>
          <w:rtl/>
        </w:rPr>
        <w:tab/>
        <w:t xml:space="preserve">ניתן היה לסיים את ההחלטה בנקודה זו. ואולם, גם לגופו של עניין, ובבחינת הרבה למעלה מן הצורך, לא מצאתי שנפלה שגגה בתוצאה אליה הגיע בית משפט קמא, ומקובלים עלי אף חלק מהנימוקים שעמדו בבסיס החלטתו. בית משפט קמא היה ער לחוק החסינות במועד הוצאת הצו; קבע את אופן מימושו של הצו תוך יצירת מנגנון בקרה שלא יפגע בחסינות ככל שיתפסו בכל זאת מסמכים שלא היו אמורים להיתפס; בדק בעצמו את המסמכים שבמחלוקת, ופסל את חלקם לאחר שמצא שהם חוסים תחת חוק החסינות או שקיים ספק לתחולת החוק לגביהם. </w:t>
      </w:r>
    </w:p>
    <w:p w:rsidR="001D5951" w:rsidRDefault="001D5951" w:rsidP="001D5951">
      <w:pPr>
        <w:rPr>
          <w:rFonts w:ascii="FrankRuehl" w:hAnsi="FrankRuehl" w:cs="FrankRuehl"/>
          <w:noProof w:val="0"/>
          <w:sz w:val="28"/>
          <w:szCs w:val="28"/>
          <w:rtl/>
        </w:rPr>
      </w:pPr>
    </w:p>
    <w:p w:rsidR="001D5951" w:rsidRDefault="001D5951" w:rsidP="001D5951">
      <w:pPr>
        <w:spacing w:line="360" w:lineRule="auto"/>
        <w:ind w:firstLine="720"/>
        <w:jc w:val="both"/>
        <w:rPr>
          <w:rFonts w:ascii="FrankRuehl" w:hAnsi="FrankRuehl" w:cs="FrankRuehl"/>
          <w:noProof w:val="0"/>
          <w:sz w:val="28"/>
          <w:szCs w:val="28"/>
          <w:rtl/>
        </w:rPr>
      </w:pPr>
      <w:r>
        <w:rPr>
          <w:rFonts w:ascii="FrankRuehl" w:hAnsi="FrankRuehl" w:cs="FrankRuehl"/>
          <w:noProof w:val="0"/>
          <w:sz w:val="28"/>
          <w:szCs w:val="28"/>
          <w:rtl/>
        </w:rPr>
        <w:t xml:space="preserve">בהחלטתו התייחס בית משפט קמא להיקפו הנרחב של חוק החסינות ולמגמה המצמצמת המתבקשת כפועל יוצא מכך בפרשנות החוק; התייחס למבחני העזר בקביעת תחולת החסינות, שאינם בהכרח מבחנים </w:t>
      </w:r>
      <w:r w:rsidR="003B6F13">
        <w:rPr>
          <w:rFonts w:ascii="FrankRuehl" w:hAnsi="FrankRuehl" w:cs="FrankRuehl" w:hint="cs"/>
          <w:noProof w:val="0"/>
          <w:sz w:val="28"/>
          <w:szCs w:val="28"/>
          <w:rtl/>
        </w:rPr>
        <w:t>"</w:t>
      </w:r>
      <w:r>
        <w:rPr>
          <w:rFonts w:ascii="FrankRuehl" w:hAnsi="FrankRuehl" w:cs="FrankRuehl"/>
          <w:noProof w:val="0"/>
          <w:sz w:val="28"/>
          <w:szCs w:val="28"/>
          <w:rtl/>
        </w:rPr>
        <w:t>גיאוגרפיים</w:t>
      </w:r>
      <w:r w:rsidR="003B6F13">
        <w:rPr>
          <w:rFonts w:ascii="FrankRuehl" w:hAnsi="FrankRuehl" w:cs="FrankRuehl" w:hint="cs"/>
          <w:noProof w:val="0"/>
          <w:sz w:val="28"/>
          <w:szCs w:val="28"/>
          <w:rtl/>
        </w:rPr>
        <w:t>"</w:t>
      </w:r>
      <w:r>
        <w:rPr>
          <w:rFonts w:ascii="FrankRuehl" w:hAnsi="FrankRuehl" w:cs="FrankRuehl"/>
          <w:noProof w:val="0"/>
          <w:sz w:val="28"/>
          <w:szCs w:val="28"/>
          <w:rtl/>
        </w:rPr>
        <w:t xml:space="preserve"> הנוגעים למיקום תפיסת החפצים, אלא מבחנים המתייחסים לאופיים האישי והפרטי. קביעות אלו יושמו על ידי בית משפט קמא ביחס ל"ניירות" ולמסמכים השונים שנתפסו, לרבות טיוטות, כאשר לגבי מרביתם נמצא שהם נעדרי אותו "אופי אישי וקרוב" הדרוש לצורך הכרזתם כחסינים מפני חיפוש ותפיסה. אף ביחס ליומנים מצא בית משפט קמא כי מדובר ביומני המשרד ולא ביומנים בעלי אופי אישי-אינטימי בהם חושף חבר הכנסת את צפונות לבו ואת הגיגיו. </w:t>
      </w:r>
    </w:p>
    <w:p w:rsidR="001D5951" w:rsidRDefault="001D5951" w:rsidP="001D5951">
      <w:pPr>
        <w:rPr>
          <w:rFonts w:ascii="FrankRuehl" w:hAnsi="FrankRuehl" w:cs="FrankRuehl"/>
          <w:noProof w:val="0"/>
          <w:sz w:val="28"/>
          <w:szCs w:val="28"/>
          <w:rtl/>
        </w:rPr>
      </w:pPr>
    </w:p>
    <w:p w:rsidR="001D5951" w:rsidRDefault="001D5951" w:rsidP="00182E5D">
      <w:pPr>
        <w:spacing w:line="360" w:lineRule="auto"/>
        <w:jc w:val="both"/>
        <w:rPr>
          <w:rFonts w:ascii="FrankRuehl" w:hAnsi="FrankRuehl" w:cs="FrankRuehl"/>
          <w:noProof w:val="0"/>
          <w:sz w:val="28"/>
          <w:szCs w:val="28"/>
          <w:rtl/>
        </w:rPr>
      </w:pPr>
      <w:r>
        <w:rPr>
          <w:rFonts w:ascii="FrankRuehl" w:hAnsi="FrankRuehl" w:cs="FrankRuehl"/>
          <w:noProof w:val="0"/>
          <w:sz w:val="28"/>
          <w:szCs w:val="28"/>
          <w:rtl/>
        </w:rPr>
        <w:t>16.</w:t>
      </w:r>
      <w:r>
        <w:rPr>
          <w:rFonts w:ascii="FrankRuehl" w:hAnsi="FrankRuehl" w:cs="FrankRuehl"/>
          <w:noProof w:val="0"/>
          <w:sz w:val="28"/>
          <w:szCs w:val="28"/>
          <w:rtl/>
        </w:rPr>
        <w:tab/>
        <w:t xml:space="preserve">ואף זאת יש לזכור, שהצו עצמו לא הוצא נגד </w:t>
      </w:r>
      <w:r w:rsidR="00182E5D">
        <w:rPr>
          <w:rFonts w:ascii="FrankRuehl" w:hAnsi="FrankRuehl" w:cs="FrankRuehl" w:hint="cs"/>
          <w:noProof w:val="0"/>
          <w:sz w:val="28"/>
          <w:szCs w:val="28"/>
          <w:rtl/>
        </w:rPr>
        <w:t>העוררת</w:t>
      </w:r>
      <w:r>
        <w:rPr>
          <w:rFonts w:ascii="FrankRuehl" w:hAnsi="FrankRuehl" w:cs="FrankRuehl"/>
          <w:noProof w:val="0"/>
          <w:sz w:val="28"/>
          <w:szCs w:val="28"/>
          <w:rtl/>
        </w:rPr>
        <w:t xml:space="preserve"> עצמה או שהתבקש חיפוש בביתה, על גופה או בחפציה האישיים, אלא שהצו התמקד בחומרים המצויים במשרד התחבורה, שבוודאי אינו חסין מפני חיפוש. זאת, משום שמשרד התחבורה, כמו גם יתר משרדי הממשלה, הוא משרד ביצועי בו מועסקים עובדים רבים, בשעה שחוק החסינות הוא חוק החל על חבר הכנסת עצמו. אין להעלות על הדעת מצב דברים בו משרד ממשלתי יהיה חסין מחיפוש ויהווה "עיר מקלט" לביצוע עבירות לכאורה אך בשל העובדה שנוכח בו חבר כנסת או שר שחוק החסינות חל עליו כאדם פרטי [על האפשרות להסתמך בהמשך ההליך על תוצרי חקירה שהופקו אגב חקירה </w:t>
      </w:r>
      <w:r>
        <w:rPr>
          <w:rFonts w:ascii="FrankRuehl" w:hAnsi="FrankRuehl" w:cs="FrankRuehl"/>
          <w:noProof w:val="0"/>
          <w:sz w:val="28"/>
          <w:szCs w:val="28"/>
          <w:rtl/>
        </w:rPr>
        <w:lastRenderedPageBreak/>
        <w:t xml:space="preserve">שהתנהלה נגד חבר כנסת, על אף שהצו שאפשר את קבלת התוצרים לא הוצא נגד חבר הכנסת עצמו, ראו והשוו: ת"פ (ת"א-יפו) </w:t>
      </w:r>
      <w:r>
        <w:rPr>
          <w:rFonts w:ascii="Miriam" w:hAnsi="Miriam" w:cs="Miriam"/>
          <w:noProof w:val="0"/>
          <w:rtl/>
        </w:rPr>
        <w:t>פאינה קירשנבאום נ' מדינת ישראל</w:t>
      </w:r>
      <w:r>
        <w:rPr>
          <w:rFonts w:ascii="FrankRuehl" w:hAnsi="FrankRuehl" w:cs="FrankRuehl"/>
          <w:noProof w:val="0"/>
          <w:sz w:val="28"/>
          <w:szCs w:val="28"/>
          <w:rtl/>
        </w:rPr>
        <w:t xml:space="preserve"> (7.6.2018)].</w:t>
      </w:r>
    </w:p>
    <w:p w:rsidR="001D5951" w:rsidRDefault="001D5951" w:rsidP="001D5951">
      <w:pPr>
        <w:rPr>
          <w:rFonts w:ascii="FrankRuehl" w:hAnsi="FrankRuehl" w:cs="FrankRuehl"/>
          <w:noProof w:val="0"/>
          <w:sz w:val="28"/>
          <w:szCs w:val="28"/>
          <w:rtl/>
        </w:rPr>
      </w:pPr>
    </w:p>
    <w:p w:rsidR="001D5951" w:rsidRDefault="001D5951" w:rsidP="001D5951">
      <w:pPr>
        <w:spacing w:line="360" w:lineRule="auto"/>
        <w:jc w:val="both"/>
        <w:rPr>
          <w:rFonts w:ascii="FrankRuehl" w:hAnsi="FrankRuehl" w:cs="FrankRuehl"/>
          <w:noProof w:val="0"/>
          <w:sz w:val="28"/>
          <w:szCs w:val="28"/>
          <w:rtl/>
        </w:rPr>
      </w:pPr>
      <w:r>
        <w:rPr>
          <w:rFonts w:ascii="FrankRuehl" w:hAnsi="FrankRuehl" w:cs="FrankRuehl"/>
          <w:noProof w:val="0"/>
          <w:sz w:val="28"/>
          <w:szCs w:val="28"/>
          <w:rtl/>
        </w:rPr>
        <w:t>17.</w:t>
      </w:r>
      <w:r>
        <w:rPr>
          <w:rFonts w:ascii="FrankRuehl" w:hAnsi="FrankRuehl" w:cs="FrankRuehl"/>
          <w:noProof w:val="0"/>
          <w:sz w:val="28"/>
          <w:szCs w:val="28"/>
          <w:rtl/>
        </w:rPr>
        <w:tab/>
        <w:t>לנוכח מסקנתי כי לא קמה לעוררת זכות ערר, לא מצאתי לבחון פעם נוספת את המסמכים שנתפסו, כאשר בחינה מחודשת של המסמכים תרוקן את ההחלטה מתוכן. מסקנה זו מתבקשת בפרט וביתר שאת לאחר שהמסמכים כבר נבחנו באופן חריג על ידי בית משפט קמא (בין אם באופן פרטני ובין אם כחלק ממכלול).</w:t>
      </w:r>
    </w:p>
    <w:p w:rsidR="001D5951" w:rsidRDefault="001D5951" w:rsidP="001D5951">
      <w:pPr>
        <w:rPr>
          <w:rFonts w:ascii="FrankRuehl" w:hAnsi="FrankRuehl" w:cs="FrankRuehl"/>
          <w:noProof w:val="0"/>
          <w:sz w:val="28"/>
          <w:szCs w:val="28"/>
          <w:rtl/>
        </w:rPr>
      </w:pPr>
    </w:p>
    <w:p w:rsidR="001D5951" w:rsidRDefault="001D5951" w:rsidP="001D5951">
      <w:pPr>
        <w:spacing w:line="360" w:lineRule="auto"/>
        <w:jc w:val="both"/>
        <w:rPr>
          <w:rFonts w:ascii="FrankRuehl" w:hAnsi="FrankRuehl" w:cs="FrankRuehl"/>
          <w:noProof w:val="0"/>
          <w:sz w:val="28"/>
          <w:szCs w:val="28"/>
          <w:rtl/>
        </w:rPr>
      </w:pPr>
      <w:r>
        <w:rPr>
          <w:rFonts w:ascii="FrankRuehl" w:hAnsi="FrankRuehl" w:cs="FrankRuehl"/>
          <w:noProof w:val="0"/>
          <w:sz w:val="28"/>
          <w:szCs w:val="28"/>
          <w:rtl/>
        </w:rPr>
        <w:t>18.</w:t>
      </w:r>
      <w:r>
        <w:rPr>
          <w:rFonts w:ascii="FrankRuehl" w:hAnsi="FrankRuehl" w:cs="FrankRuehl"/>
          <w:noProof w:val="0"/>
          <w:sz w:val="28"/>
          <w:szCs w:val="28"/>
          <w:rtl/>
        </w:rPr>
        <w:tab/>
        <w:t>לבסוף</w:t>
      </w:r>
      <w:r w:rsidR="00213A68">
        <w:rPr>
          <w:rFonts w:ascii="FrankRuehl" w:hAnsi="FrankRuehl" w:cs="FrankRuehl" w:hint="cs"/>
          <w:noProof w:val="0"/>
          <w:sz w:val="28"/>
          <w:szCs w:val="28"/>
          <w:rtl/>
        </w:rPr>
        <w:t>,</w:t>
      </w:r>
      <w:r>
        <w:rPr>
          <w:rFonts w:ascii="FrankRuehl" w:hAnsi="FrankRuehl" w:cs="FrankRuehl"/>
          <w:noProof w:val="0"/>
          <w:sz w:val="28"/>
          <w:szCs w:val="28"/>
          <w:rtl/>
        </w:rPr>
        <w:t xml:space="preserve"> אציין שמקובלת עליי אף קביעת בית משפט קמא כי בהינתן מושא החיפוש, אופי החיפוש, המקום בו בוצע החיפוש במשרד התחבורה (להבדיל, למשל, מביתו של חבר הכנסת, לא כל שכן "גופו או חפציו" האישיים, להם התייחס המחוקק באופן מפורט בחוק החסינות), אין מקום לפנות להוראות סעיף 2(ג) לחוק החסינות, המקנה סמכות לשופט של בית המשפט העליון להוציא צו חיפוש נגד חבר כנסת. זאת, נוכח כך שהסעיף מסמיך את שופט העליון לאפשר חיפוש בכל מקום "</w:t>
      </w:r>
      <w:r>
        <w:rPr>
          <w:rFonts w:ascii="Miriam" w:hAnsi="Miriam" w:cs="Miriam"/>
          <w:noProof w:val="0"/>
          <w:rtl/>
        </w:rPr>
        <w:t>אצל חבר הכנסת</w:t>
      </w:r>
      <w:r>
        <w:rPr>
          <w:rFonts w:ascii="FrankRuehl" w:hAnsi="FrankRuehl" w:cs="FrankRuehl"/>
          <w:noProof w:val="0"/>
          <w:sz w:val="28"/>
          <w:szCs w:val="28"/>
          <w:rtl/>
        </w:rPr>
        <w:t xml:space="preserve">" </w:t>
      </w:r>
      <w:r>
        <w:rPr>
          <w:rFonts w:ascii="Miriam" w:hAnsi="Miriam" w:cs="Miriam"/>
          <w:noProof w:val="0"/>
          <w:rtl/>
        </w:rPr>
        <w:t>עצמו</w:t>
      </w:r>
      <w:r>
        <w:rPr>
          <w:rFonts w:ascii="FrankRuehl" w:hAnsi="FrankRuehl" w:cs="FrankRuehl"/>
          <w:noProof w:val="0"/>
          <w:sz w:val="28"/>
          <w:szCs w:val="28"/>
          <w:rtl/>
        </w:rPr>
        <w:t>, שלא כמו המקרה שלפנינו בו מושא הצו לא הייתה העוררת עצמה, לא כל שכן בשעה שהעבירות מושא החקירה אינן נמנות על העבירות בהן מצא המחוקק לאשר אפשרות זו.</w:t>
      </w:r>
    </w:p>
    <w:p w:rsidR="001D5951" w:rsidRDefault="001D5951" w:rsidP="001D5951">
      <w:pPr>
        <w:rPr>
          <w:rFonts w:ascii="FrankRuehl" w:hAnsi="FrankRuehl" w:cs="FrankRuehl"/>
          <w:noProof w:val="0"/>
          <w:sz w:val="28"/>
          <w:szCs w:val="28"/>
          <w:rtl/>
        </w:rPr>
      </w:pPr>
    </w:p>
    <w:p w:rsidR="001D5951" w:rsidRDefault="001D5951" w:rsidP="00D05773">
      <w:pPr>
        <w:spacing w:line="360" w:lineRule="auto"/>
        <w:jc w:val="both"/>
        <w:rPr>
          <w:rFonts w:ascii="FrankRuehl" w:hAnsi="FrankRuehl" w:cs="FrankRuehl"/>
          <w:noProof w:val="0"/>
          <w:sz w:val="28"/>
          <w:szCs w:val="28"/>
          <w:rtl/>
        </w:rPr>
      </w:pPr>
      <w:r>
        <w:rPr>
          <w:rFonts w:ascii="FrankRuehl" w:hAnsi="FrankRuehl" w:cs="FrankRuehl"/>
          <w:noProof w:val="0"/>
          <w:sz w:val="28"/>
          <w:szCs w:val="28"/>
          <w:rtl/>
        </w:rPr>
        <w:t>19.</w:t>
      </w:r>
      <w:r>
        <w:rPr>
          <w:rFonts w:ascii="FrankRuehl" w:hAnsi="FrankRuehl" w:cs="FrankRuehl"/>
          <w:noProof w:val="0"/>
          <w:sz w:val="28"/>
          <w:szCs w:val="28"/>
          <w:rtl/>
        </w:rPr>
        <w:tab/>
        <w:t xml:space="preserve">במאמר מוסגר אציין שדווקא הרחבת חוק החסינות והחלתו על שר שאינו חבר כנסת,  המשמש כזרוע ביצועית ולא כזרוע מחוקקת, מדגישה ביתר שאת את תחולתו הרחבה עד מאוד של החוק. זאת, בהינתן שככל שהדבר נוגע לשר, לא מתקיימות לגביו התכליות שעמדו בבסיסו של חוק החסינות ביחס לחברי הכנסת, ובהן מתן חופש פעולה וחופש תנועה מרביים לחבר הכנסת במטרה לאפשר לו לבצע את תפקידו באופן חופשי ללא כל חשש מתגובה כלשהי של הרשות המבצעת. נימוק זה, החל רק ביחס לשר שאינו חבר כנסת, מצטרף לשלל נימוקים המצדיקים פרשנות מצמצמת ביחס לפרשנות חוק החסינות, ובראשם עיקרון השוויון בפני החוק, כל זאת במטרה למנוע מחבר כנסת לנצל לרעה את חסינותו העניינית. עמד על כך המשנה לנשיא (כתוארו אז) </w:t>
      </w:r>
      <w:r>
        <w:rPr>
          <w:rFonts w:ascii="Miriam" w:hAnsi="Miriam" w:cs="Miriam"/>
          <w:noProof w:val="0"/>
          <w:rtl/>
        </w:rPr>
        <w:t>א' ברק</w:t>
      </w:r>
      <w:r>
        <w:rPr>
          <w:rFonts w:ascii="FrankRuehl" w:hAnsi="FrankRuehl" w:cs="FrankRuehl"/>
          <w:noProof w:val="0"/>
          <w:sz w:val="28"/>
          <w:szCs w:val="28"/>
          <w:rtl/>
        </w:rPr>
        <w:t xml:space="preserve"> בבג"ץ 1843/93 </w:t>
      </w:r>
      <w:r>
        <w:rPr>
          <w:rFonts w:ascii="Miriam" w:hAnsi="Miriam" w:cs="Miriam"/>
          <w:noProof w:val="0"/>
          <w:rtl/>
        </w:rPr>
        <w:t>פנחסי נ' מדינת ישראל</w:t>
      </w:r>
      <w:r>
        <w:rPr>
          <w:rFonts w:ascii="FrankRuehl" w:hAnsi="FrankRuehl" w:cs="FrankRuehl"/>
          <w:noProof w:val="0"/>
          <w:sz w:val="28"/>
          <w:szCs w:val="28"/>
          <w:rtl/>
        </w:rPr>
        <w:t>, פסקה 22 (17.1.1995):</w:t>
      </w:r>
    </w:p>
    <w:p w:rsidR="001D5951" w:rsidRDefault="001D5951" w:rsidP="001D5951">
      <w:pPr>
        <w:rPr>
          <w:rFonts w:ascii="FrankRuehl" w:hAnsi="FrankRuehl" w:cs="FrankRuehl"/>
          <w:noProof w:val="0"/>
          <w:sz w:val="28"/>
          <w:szCs w:val="28"/>
          <w:rtl/>
        </w:rPr>
      </w:pPr>
    </w:p>
    <w:p w:rsidR="001D5951" w:rsidRDefault="001D5951" w:rsidP="001D5951">
      <w:pPr>
        <w:spacing w:line="360" w:lineRule="auto"/>
        <w:ind w:left="720" w:right="426"/>
        <w:jc w:val="both"/>
        <w:rPr>
          <w:rFonts w:ascii="FrankRuehl" w:hAnsi="FrankRuehl" w:cs="FrankRuehl"/>
          <w:noProof w:val="0"/>
          <w:sz w:val="28"/>
          <w:szCs w:val="28"/>
          <w:rtl/>
        </w:rPr>
      </w:pPr>
      <w:r>
        <w:rPr>
          <w:rFonts w:ascii="FrankRuehl" w:hAnsi="FrankRuehl" w:cs="FrankRuehl"/>
          <w:noProof w:val="0"/>
          <w:sz w:val="28"/>
          <w:szCs w:val="28"/>
          <w:rtl/>
        </w:rPr>
        <w:t xml:space="preserve">"החברות בכנסת אינה הופכת "לעיר מקלט" לחברי-כנסת המבצעים עבירות פליליות תוך כדי ביצוע תפקידם כחברי-כנסת. חבר-כנסת אינו רשאי, תוך כדי ביצוע תפקידו כחבר-כנסת, להפר את החוק בריש גלי ובאופן הפגנתי ולטעון לחסינות עניינית. חבר-כנסת אינו רשאי לתכנן מראש התנהגות פלילית מתוך מחשבה </w:t>
      </w:r>
      <w:r>
        <w:rPr>
          <w:rFonts w:ascii="FrankRuehl" w:hAnsi="FrankRuehl" w:cs="FrankRuehl"/>
          <w:noProof w:val="0"/>
          <w:sz w:val="28"/>
          <w:szCs w:val="28"/>
          <w:rtl/>
        </w:rPr>
        <w:lastRenderedPageBreak/>
        <w:t>שהחסינות תעמוד לו. עם זאת, החברות בכנסת מחסנת את חברי הכנסת מפני פעולות אסורות שהן בגדר "סיכונים מקצועיים".</w:t>
      </w:r>
    </w:p>
    <w:p w:rsidR="001D5951" w:rsidRDefault="001D5951" w:rsidP="001D5951">
      <w:pPr>
        <w:rPr>
          <w:rFonts w:ascii="FrankRuehl" w:hAnsi="FrankRuehl" w:cs="FrankRuehl"/>
          <w:noProof w:val="0"/>
          <w:sz w:val="28"/>
          <w:szCs w:val="28"/>
          <w:rtl/>
        </w:rPr>
      </w:pPr>
      <w:r>
        <w:rPr>
          <w:rFonts w:ascii="FrankRuehl" w:hAnsi="FrankRuehl" w:cs="FrankRuehl"/>
          <w:noProof w:val="0"/>
          <w:sz w:val="28"/>
          <w:szCs w:val="28"/>
          <w:rtl/>
        </w:rPr>
        <w:t xml:space="preserve">  </w:t>
      </w:r>
    </w:p>
    <w:p w:rsidR="001D5951" w:rsidRDefault="001D5951" w:rsidP="00213A68">
      <w:pPr>
        <w:spacing w:line="360" w:lineRule="auto"/>
        <w:jc w:val="both"/>
        <w:rPr>
          <w:rFonts w:ascii="FrankRuehl" w:hAnsi="FrankRuehl" w:cs="FrankRuehl"/>
          <w:noProof w:val="0"/>
          <w:sz w:val="28"/>
          <w:szCs w:val="28"/>
          <w:rtl/>
        </w:rPr>
      </w:pPr>
      <w:r>
        <w:rPr>
          <w:rFonts w:ascii="FrankRuehl" w:hAnsi="FrankRuehl" w:cs="FrankRuehl"/>
          <w:noProof w:val="0"/>
          <w:sz w:val="28"/>
          <w:szCs w:val="28"/>
          <w:rtl/>
        </w:rPr>
        <w:t>20.</w:t>
      </w:r>
      <w:r>
        <w:rPr>
          <w:rFonts w:ascii="FrankRuehl" w:hAnsi="FrankRuehl" w:cs="FrankRuehl"/>
          <w:noProof w:val="0"/>
          <w:sz w:val="28"/>
          <w:szCs w:val="28"/>
          <w:rtl/>
        </w:rPr>
        <w:tab/>
        <w:t xml:space="preserve">בטרם חתימה, מאחר שהמקרה שלפנינו עסק בחריג לכלל, ועל מנת שהכלל לא יהפוך לחריג והחריג לכלל, מצאתי לחזור ולהדגיש את הכלל הבסיסי שנקבע בדנ"פ </w:t>
      </w:r>
      <w:r>
        <w:rPr>
          <w:rFonts w:ascii="Miriam" w:hAnsi="Miriam" w:cs="Miriam"/>
          <w:noProof w:val="0"/>
          <w:rtl/>
        </w:rPr>
        <w:t>אוריך</w:t>
      </w:r>
      <w:r>
        <w:rPr>
          <w:rFonts w:ascii="FrankRuehl" w:hAnsi="FrankRuehl" w:cs="FrankRuehl"/>
          <w:noProof w:val="0"/>
          <w:sz w:val="28"/>
          <w:szCs w:val="28"/>
          <w:rtl/>
        </w:rPr>
        <w:t xml:space="preserve">, לפיו במרביתם </w:t>
      </w:r>
      <w:r>
        <w:rPr>
          <w:rFonts w:ascii="Miriam" w:hAnsi="Miriam" w:cs="Miriam"/>
          <w:noProof w:val="0"/>
          <w:rtl/>
        </w:rPr>
        <w:t>המוחלט</w:t>
      </w:r>
      <w:r>
        <w:rPr>
          <w:rFonts w:ascii="FrankRuehl" w:hAnsi="FrankRuehl" w:cs="FrankRuehl"/>
          <w:noProof w:val="0"/>
          <w:sz w:val="28"/>
          <w:szCs w:val="28"/>
          <w:rtl/>
        </w:rPr>
        <w:t xml:space="preserve"> של המקרים לא תינתן זכות השגה על החלטת שופט ליתן צו חיפוש, בין אם מדובר בשלב </w:t>
      </w:r>
      <w:r>
        <w:rPr>
          <w:rFonts w:ascii="Miriam" w:hAnsi="Miriam" w:cs="Miriam"/>
          <w:noProof w:val="0"/>
          <w:rtl/>
        </w:rPr>
        <w:t>שלפני</w:t>
      </w:r>
      <w:r>
        <w:rPr>
          <w:rFonts w:ascii="FrankRuehl" w:hAnsi="FrankRuehl" w:cs="FrankRuehl"/>
          <w:noProof w:val="0"/>
          <w:sz w:val="28"/>
          <w:szCs w:val="28"/>
          <w:rtl/>
        </w:rPr>
        <w:t xml:space="preserve"> הוצאת הצו, בין אם </w:t>
      </w:r>
      <w:r>
        <w:rPr>
          <w:rFonts w:ascii="Miriam" w:hAnsi="Miriam" w:cs="Miriam"/>
          <w:noProof w:val="0"/>
          <w:rtl/>
        </w:rPr>
        <w:t>במעמד</w:t>
      </w:r>
      <w:r>
        <w:rPr>
          <w:rFonts w:ascii="FrankRuehl" w:hAnsi="FrankRuehl" w:cs="FrankRuehl"/>
          <w:noProof w:val="0"/>
          <w:sz w:val="28"/>
          <w:szCs w:val="28"/>
          <w:rtl/>
        </w:rPr>
        <w:t xml:space="preserve"> הוצאת הצו, ובין אם בשלב </w:t>
      </w:r>
      <w:r>
        <w:rPr>
          <w:rFonts w:ascii="Miriam" w:hAnsi="Miriam" w:cs="Miriam"/>
          <w:noProof w:val="0"/>
          <w:rtl/>
        </w:rPr>
        <w:t>המאוחר</w:t>
      </w:r>
      <w:r>
        <w:rPr>
          <w:rFonts w:ascii="FrankRuehl" w:hAnsi="FrankRuehl" w:cs="FrankRuehl"/>
          <w:noProof w:val="0"/>
          <w:sz w:val="28"/>
          <w:szCs w:val="28"/>
          <w:rtl/>
        </w:rPr>
        <w:t xml:space="preserve"> למועד הוצאתו. לאורו של כלל בסיסי</w:t>
      </w:r>
      <w:r w:rsidR="00213A68">
        <w:rPr>
          <w:rFonts w:ascii="FrankRuehl" w:hAnsi="FrankRuehl" w:cs="FrankRuehl"/>
          <w:noProof w:val="0"/>
          <w:sz w:val="28"/>
          <w:szCs w:val="28"/>
          <w:rtl/>
        </w:rPr>
        <w:t xml:space="preserve"> זה יש לנהוג במרביתן המוחלט של </w:t>
      </w:r>
      <w:r w:rsidR="00213A68">
        <w:rPr>
          <w:rFonts w:ascii="FrankRuehl" w:hAnsi="FrankRuehl" w:cs="FrankRuehl" w:hint="cs"/>
          <w:noProof w:val="0"/>
          <w:sz w:val="28"/>
          <w:szCs w:val="28"/>
          <w:rtl/>
        </w:rPr>
        <w:t>"</w:t>
      </w:r>
      <w:r>
        <w:rPr>
          <w:rFonts w:ascii="FrankRuehl" w:hAnsi="FrankRuehl" w:cs="FrankRuehl"/>
          <w:noProof w:val="0"/>
          <w:sz w:val="28"/>
          <w:szCs w:val="28"/>
          <w:rtl/>
        </w:rPr>
        <w:t>בקשות</w:t>
      </w:r>
      <w:r w:rsidR="00213A68">
        <w:rPr>
          <w:rFonts w:ascii="FrankRuehl" w:hAnsi="FrankRuehl" w:cs="FrankRuehl" w:hint="cs"/>
          <w:noProof w:val="0"/>
          <w:sz w:val="28"/>
          <w:szCs w:val="28"/>
          <w:rtl/>
        </w:rPr>
        <w:t>"</w:t>
      </w:r>
      <w:r>
        <w:rPr>
          <w:rFonts w:ascii="FrankRuehl" w:hAnsi="FrankRuehl" w:cs="FrankRuehl"/>
          <w:noProof w:val="0"/>
          <w:sz w:val="28"/>
          <w:szCs w:val="28"/>
          <w:rtl/>
        </w:rPr>
        <w:t xml:space="preserve"> </w:t>
      </w:r>
      <w:r w:rsidR="00213A68">
        <w:rPr>
          <w:rFonts w:ascii="FrankRuehl" w:hAnsi="FrankRuehl" w:cs="FrankRuehl" w:hint="cs"/>
          <w:noProof w:val="0"/>
          <w:sz w:val="28"/>
          <w:szCs w:val="28"/>
          <w:rtl/>
        </w:rPr>
        <w:t>או "עררים" ה</w:t>
      </w:r>
      <w:r>
        <w:rPr>
          <w:rFonts w:ascii="FrankRuehl" w:hAnsi="FrankRuehl" w:cs="FrankRuehl"/>
          <w:noProof w:val="0"/>
          <w:sz w:val="28"/>
          <w:szCs w:val="28"/>
          <w:rtl/>
        </w:rPr>
        <w:t>מוגש</w:t>
      </w:r>
      <w:r w:rsidR="00213A68">
        <w:rPr>
          <w:rFonts w:ascii="FrankRuehl" w:hAnsi="FrankRuehl" w:cs="FrankRuehl" w:hint="cs"/>
          <w:noProof w:val="0"/>
          <w:sz w:val="28"/>
          <w:szCs w:val="28"/>
          <w:rtl/>
        </w:rPr>
        <w:t>ים</w:t>
      </w:r>
      <w:r>
        <w:rPr>
          <w:rFonts w:ascii="FrankRuehl" w:hAnsi="FrankRuehl" w:cs="FrankRuehl"/>
          <w:noProof w:val="0"/>
          <w:sz w:val="28"/>
          <w:szCs w:val="28"/>
          <w:rtl/>
        </w:rPr>
        <w:t xml:space="preserve"> בניסיון לקעקע את ביצועו של הצו או את אפשרות יישומו לאחר שהחיפוש בוצע</w:t>
      </w:r>
      <w:r w:rsidR="00213A68">
        <w:rPr>
          <w:rFonts w:ascii="FrankRuehl" w:hAnsi="FrankRuehl" w:cs="FrankRuehl" w:hint="cs"/>
          <w:noProof w:val="0"/>
          <w:sz w:val="28"/>
          <w:szCs w:val="28"/>
          <w:rtl/>
        </w:rPr>
        <w:t>, זאת מבלי לקיים דיון ותוך דחיית ה</w:t>
      </w:r>
      <w:r w:rsidR="00936BC1">
        <w:rPr>
          <w:rFonts w:ascii="FrankRuehl" w:hAnsi="FrankRuehl" w:cs="FrankRuehl" w:hint="cs"/>
          <w:noProof w:val="0"/>
          <w:sz w:val="28"/>
          <w:szCs w:val="28"/>
          <w:rtl/>
        </w:rPr>
        <w:t>"</w:t>
      </w:r>
      <w:r w:rsidR="00213A68">
        <w:rPr>
          <w:rFonts w:ascii="FrankRuehl" w:hAnsi="FrankRuehl" w:cs="FrankRuehl" w:hint="cs"/>
          <w:noProof w:val="0"/>
          <w:sz w:val="28"/>
          <w:szCs w:val="28"/>
          <w:rtl/>
        </w:rPr>
        <w:t>בקשה</w:t>
      </w:r>
      <w:r w:rsidR="00936BC1">
        <w:rPr>
          <w:rFonts w:ascii="FrankRuehl" w:hAnsi="FrankRuehl" w:cs="FrankRuehl" w:hint="cs"/>
          <w:noProof w:val="0"/>
          <w:sz w:val="28"/>
          <w:szCs w:val="28"/>
          <w:rtl/>
        </w:rPr>
        <w:t>"</w:t>
      </w:r>
      <w:r w:rsidR="00213A68">
        <w:rPr>
          <w:rFonts w:ascii="FrankRuehl" w:hAnsi="FrankRuehl" w:cs="FrankRuehl" w:hint="cs"/>
          <w:noProof w:val="0"/>
          <w:sz w:val="28"/>
          <w:szCs w:val="28"/>
          <w:rtl/>
        </w:rPr>
        <w:t xml:space="preserve"> </w:t>
      </w:r>
      <w:r w:rsidR="00936BC1">
        <w:rPr>
          <w:rFonts w:ascii="FrankRuehl" w:hAnsi="FrankRuehl" w:cs="FrankRuehl" w:hint="cs"/>
          <w:noProof w:val="0"/>
          <w:sz w:val="28"/>
          <w:szCs w:val="28"/>
          <w:rtl/>
        </w:rPr>
        <w:t xml:space="preserve">או ה"ערר" </w:t>
      </w:r>
      <w:r w:rsidR="00213A68">
        <w:rPr>
          <w:rFonts w:ascii="FrankRuehl" w:hAnsi="FrankRuehl" w:cs="FrankRuehl" w:hint="cs"/>
          <w:noProof w:val="0"/>
          <w:sz w:val="28"/>
          <w:szCs w:val="28"/>
          <w:rtl/>
        </w:rPr>
        <w:t>על הסף</w:t>
      </w:r>
      <w:r>
        <w:rPr>
          <w:rFonts w:ascii="FrankRuehl" w:hAnsi="FrankRuehl" w:cs="FrankRuehl"/>
          <w:noProof w:val="0"/>
          <w:sz w:val="28"/>
          <w:szCs w:val="28"/>
          <w:rtl/>
        </w:rPr>
        <w:t xml:space="preserve">. </w:t>
      </w:r>
    </w:p>
    <w:p w:rsidR="001D5951" w:rsidRDefault="001D5951" w:rsidP="001D5951">
      <w:pPr>
        <w:rPr>
          <w:rFonts w:ascii="FrankRuehl" w:hAnsi="FrankRuehl" w:cs="FrankRuehl"/>
          <w:noProof w:val="0"/>
          <w:sz w:val="28"/>
          <w:szCs w:val="28"/>
          <w:rtl/>
        </w:rPr>
      </w:pPr>
    </w:p>
    <w:p w:rsidR="001D5951" w:rsidRDefault="001D5951" w:rsidP="001D5951">
      <w:pPr>
        <w:spacing w:line="360" w:lineRule="auto"/>
        <w:ind w:firstLine="720"/>
        <w:jc w:val="both"/>
        <w:rPr>
          <w:rFonts w:ascii="FrankRuehl" w:hAnsi="FrankRuehl" w:cs="FrankRuehl"/>
          <w:noProof w:val="0"/>
          <w:sz w:val="28"/>
          <w:szCs w:val="28"/>
          <w:rtl/>
        </w:rPr>
      </w:pPr>
      <w:r>
        <w:rPr>
          <w:rFonts w:ascii="FrankRuehl" w:hAnsi="FrankRuehl" w:cs="FrankRuehl"/>
          <w:noProof w:val="0"/>
          <w:sz w:val="28"/>
          <w:szCs w:val="28"/>
          <w:rtl/>
        </w:rPr>
        <w:t xml:space="preserve">בפתח הצר והנדיר שהותירה הלכת </w:t>
      </w:r>
      <w:r>
        <w:rPr>
          <w:rFonts w:ascii="Miriam" w:hAnsi="Miriam" w:cs="Miriam"/>
          <w:noProof w:val="0"/>
          <w:rtl/>
        </w:rPr>
        <w:t>אוריך</w:t>
      </w:r>
      <w:r>
        <w:rPr>
          <w:rFonts w:ascii="FrankRuehl" w:hAnsi="FrankRuehl" w:cs="FrankRuehl"/>
          <w:noProof w:val="0"/>
          <w:sz w:val="28"/>
          <w:szCs w:val="28"/>
          <w:rtl/>
        </w:rPr>
        <w:t xml:space="preserve"> נכנס המקרה שלפנינו, שהצדיק את קיום הדיון שנערך בפני בית משפט קמא, זאת בשים לב למקרה הייחודי שעסק בסוגיית זכות החסינות של העוררת. לצד האמור, משניתן לעוררת יומה בבית המשפט, בשים לב לאמות המידה שהותוו בעניין </w:t>
      </w:r>
      <w:r>
        <w:rPr>
          <w:rFonts w:ascii="Miriam" w:hAnsi="Miriam" w:cs="Miriam"/>
          <w:noProof w:val="0"/>
          <w:rtl/>
        </w:rPr>
        <w:t>אוריך</w:t>
      </w:r>
      <w:r>
        <w:rPr>
          <w:rFonts w:ascii="FrankRuehl" w:hAnsi="FrankRuehl" w:cs="FrankRuehl"/>
          <w:noProof w:val="0"/>
          <w:sz w:val="28"/>
          <w:szCs w:val="28"/>
          <w:rtl/>
        </w:rPr>
        <w:t>, ובהעדר סמכות מפורשת בחוק, לא ניתן להשיג על ההחלטה שהתקבלה.</w:t>
      </w:r>
    </w:p>
    <w:p w:rsidR="001D5951" w:rsidRDefault="001D5951" w:rsidP="001D5951">
      <w:pPr>
        <w:rPr>
          <w:rFonts w:ascii="FrankRuehl" w:hAnsi="FrankRuehl" w:cs="FrankRuehl"/>
          <w:noProof w:val="0"/>
          <w:sz w:val="28"/>
          <w:szCs w:val="28"/>
          <w:rtl/>
        </w:rPr>
      </w:pPr>
    </w:p>
    <w:p w:rsidR="001D5951" w:rsidRDefault="001D5951" w:rsidP="001D5951">
      <w:pPr>
        <w:spacing w:line="360" w:lineRule="auto"/>
        <w:jc w:val="both"/>
        <w:rPr>
          <w:rFonts w:ascii="FrankRuehl" w:hAnsi="FrankRuehl" w:cs="FrankRuehl"/>
          <w:noProof w:val="0"/>
          <w:sz w:val="28"/>
          <w:szCs w:val="28"/>
          <w:rtl/>
        </w:rPr>
      </w:pPr>
      <w:r>
        <w:rPr>
          <w:rFonts w:ascii="FrankRuehl" w:hAnsi="FrankRuehl" w:cs="FrankRuehl"/>
          <w:noProof w:val="0"/>
          <w:sz w:val="28"/>
          <w:szCs w:val="28"/>
          <w:rtl/>
        </w:rPr>
        <w:t>21.</w:t>
      </w:r>
      <w:r>
        <w:rPr>
          <w:rFonts w:ascii="FrankRuehl" w:hAnsi="FrankRuehl" w:cs="FrankRuehl"/>
          <w:noProof w:val="0"/>
          <w:sz w:val="28"/>
          <w:szCs w:val="28"/>
          <w:rtl/>
        </w:rPr>
        <w:tab/>
        <w:t>נוכח כל האמור, מצאתי כי דין הערר להידחות על הסף בהעדר סמכות להגישו. החלטתי תיכנס לתוקפה מחר, 29.7.2024 בשעה 12:00, זאת לבקשת העוררת לעכב את ביצוע ההחלטה במקרה שהערר יידחה.</w:t>
      </w:r>
    </w:p>
    <w:p w:rsidR="001D5951" w:rsidRDefault="001D5951" w:rsidP="001D5951">
      <w:pPr>
        <w:rPr>
          <w:rFonts w:ascii="FrankRuehl" w:hAnsi="FrankRuehl" w:cs="FrankRuehl"/>
          <w:noProof w:val="0"/>
          <w:sz w:val="28"/>
          <w:szCs w:val="28"/>
          <w:rtl/>
        </w:rPr>
      </w:pPr>
    </w:p>
    <w:p w:rsidR="001D5951" w:rsidRDefault="001D5951" w:rsidP="001D5951">
      <w:pPr>
        <w:spacing w:line="360" w:lineRule="auto"/>
        <w:jc w:val="both"/>
        <w:rPr>
          <w:rFonts w:ascii="FrankRuehl" w:hAnsi="FrankRuehl" w:cs="FrankRuehl"/>
          <w:noProof w:val="0"/>
          <w:sz w:val="28"/>
          <w:szCs w:val="28"/>
          <w:rtl/>
        </w:rPr>
      </w:pPr>
      <w:r>
        <w:rPr>
          <w:rFonts w:ascii="FrankRuehl" w:hAnsi="FrankRuehl" w:cs="FrankRuehl"/>
          <w:noProof w:val="0"/>
          <w:sz w:val="28"/>
          <w:szCs w:val="28"/>
          <w:rtl/>
        </w:rPr>
        <w:t>22.</w:t>
      </w:r>
      <w:r>
        <w:rPr>
          <w:rFonts w:ascii="FrankRuehl" w:hAnsi="FrankRuehl" w:cs="FrankRuehl"/>
          <w:noProof w:val="0"/>
          <w:sz w:val="28"/>
          <w:szCs w:val="28"/>
          <w:rtl/>
        </w:rPr>
        <w:tab/>
        <w:t>המזכירות תמציא את ההחלטה לב"כ הצדדים.</w:t>
      </w:r>
    </w:p>
    <w:p w:rsidR="0045543D" w:rsidRDefault="0045543D">
      <w:pPr>
        <w:spacing w:line="360" w:lineRule="auto"/>
        <w:jc w:val="both"/>
        <w:rPr>
          <w:rFonts w:ascii="FrankRuehl" w:hAnsi="FrankRuehl" w:cs="FrankRuehl"/>
          <w:noProof w:val="0"/>
          <w:sz w:val="28"/>
          <w:szCs w:val="28"/>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כ"ב תמוז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28 יולי 2024</w:t>
          </w:r>
        </w:sdtContent>
      </w:sdt>
      <w:r w:rsidR="00005C8B">
        <w:rPr>
          <w:rFonts w:ascii="Arial" w:hAnsi="Arial"/>
          <w:noProof w:val="0"/>
          <w:rtl/>
        </w:rPr>
        <w:t>, בהעדר הצדדים.</w:t>
      </w:r>
    </w:p>
    <w:p w:rsidR="00C43648" w:rsidRDefault="00E41EA9"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2064397900"/>
        </w:sdtPr>
        <w:sdtEndPr/>
        <w:sdtContent>
          <w:r w:rsidR="007E4850">
            <w:drawing>
              <wp:inline distT="0" distB="0" distL="0" distR="0" wp14:editId="50D07946">
                <wp:extent cx="1481328" cy="62179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5" cstate="print">
                          <a:extLst/>
                        </a:blip>
                        <a:stretch>
                          <a:fillRect/>
                        </a:stretch>
                      </pic:blipFill>
                      <pic:spPr>
                        <a:xfrm>
                          <a:off x="0" y="0"/>
                          <a:ext cx="1481328" cy="621792"/>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D57C5D">
      <w:headerReference w:type="even" r:id="rId16"/>
      <w:headerReference w:type="default" r:id="rId17"/>
      <w:footerReference w:type="even" r:id="rId18"/>
      <w:footerReference w:type="default" r:id="rId19"/>
      <w:headerReference w:type="first" r:id="rId20"/>
      <w:footerReference w:type="first" r:id="rId21"/>
      <w:pgSz w:w="11907" w:h="16840" w:code="9"/>
      <w:pgMar w:top="1440" w:right="1800" w:bottom="1440" w:left="1800"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1EA9" w:rsidRDefault="00E41EA9">
      <w:r>
        <w:separator/>
      </w:r>
    </w:p>
  </w:endnote>
  <w:endnote w:type="continuationSeparator" w:id="0">
    <w:p w:rsidR="00E41EA9" w:rsidRDefault="00E41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4850" w:rsidRDefault="007E4850">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765F7" w:rsidRDefault="000C3B60">
    <w:pPr>
      <w:pStyle w:val="a4"/>
      <w:jc w:val="center"/>
      <w:rPr>
        <w:rStyle w:val="ab"/>
        <w:rFonts w:ascii="David" w:hAnsi="David"/>
      </w:rPr>
    </w:pPr>
    <w:r w:rsidRPr="00E765F7">
      <w:rPr>
        <w:rStyle w:val="ab"/>
        <w:rFonts w:ascii="David" w:hAnsi="David"/>
      </w:rPr>
      <w:fldChar w:fldCharType="begin"/>
    </w:r>
    <w:r w:rsidR="00005C8B" w:rsidRPr="00E765F7">
      <w:rPr>
        <w:rStyle w:val="ab"/>
        <w:rFonts w:ascii="David" w:hAnsi="David"/>
      </w:rPr>
      <w:instrText xml:space="preserve"> PAGE </w:instrText>
    </w:r>
    <w:r w:rsidRPr="00E765F7">
      <w:rPr>
        <w:rStyle w:val="ab"/>
        <w:rFonts w:ascii="David" w:hAnsi="David"/>
      </w:rPr>
      <w:fldChar w:fldCharType="separate"/>
    </w:r>
    <w:r w:rsidR="00CD31C7">
      <w:rPr>
        <w:rStyle w:val="ab"/>
        <w:rFonts w:ascii="David" w:hAnsi="David"/>
        <w:rtl/>
      </w:rPr>
      <w:t>1</w:t>
    </w:r>
    <w:r w:rsidRPr="00E765F7">
      <w:rPr>
        <w:rStyle w:val="ab"/>
        <w:rFonts w:ascii="David" w:hAnsi="David"/>
      </w:rPr>
      <w:fldChar w:fldCharType="end"/>
    </w:r>
    <w:r w:rsidR="00005C8B" w:rsidRPr="00E765F7">
      <w:rPr>
        <w:rStyle w:val="ab"/>
        <w:rFonts w:ascii="David" w:hAnsi="David"/>
        <w:rtl/>
      </w:rPr>
      <w:t xml:space="preserve"> מתוך </w:t>
    </w:r>
    <w:r w:rsidRPr="00E765F7">
      <w:rPr>
        <w:rStyle w:val="ab"/>
        <w:rFonts w:ascii="David" w:hAnsi="David"/>
      </w:rPr>
      <w:fldChar w:fldCharType="begin"/>
    </w:r>
    <w:r w:rsidR="00005C8B" w:rsidRPr="00E765F7">
      <w:rPr>
        <w:rStyle w:val="ab"/>
        <w:rFonts w:ascii="David" w:hAnsi="David"/>
      </w:rPr>
      <w:instrText xml:space="preserve"> NUMPAGES </w:instrText>
    </w:r>
    <w:r w:rsidRPr="00E765F7">
      <w:rPr>
        <w:rStyle w:val="ab"/>
        <w:rFonts w:ascii="David" w:hAnsi="David"/>
      </w:rPr>
      <w:fldChar w:fldCharType="separate"/>
    </w:r>
    <w:r w:rsidR="00CD31C7">
      <w:rPr>
        <w:rStyle w:val="ab"/>
        <w:rFonts w:ascii="David" w:hAnsi="David"/>
        <w:rtl/>
      </w:rPr>
      <w:t>12</w:t>
    </w:r>
    <w:r w:rsidRPr="00E765F7">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4850" w:rsidRDefault="007E485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1EA9" w:rsidRDefault="00E41EA9">
      <w:r>
        <w:separator/>
      </w:r>
    </w:p>
  </w:footnote>
  <w:footnote w:type="continuationSeparator" w:id="0">
    <w:p w:rsidR="00E41EA9" w:rsidRDefault="00E41E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4850" w:rsidRDefault="007E485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0B344C">
      <w:trPr>
        <w:trHeight w:hRule="exact" w:val="704"/>
        <w:jc w:val="center"/>
      </w:trPr>
      <w:sdt>
        <w:sdtPr>
          <w:rPr>
            <w:rFonts w:ascii="Tahoma" w:hAnsi="Tahoma"/>
            <w:color w:val="000080"/>
            <w:sz w:val="32"/>
            <w:szCs w:val="32"/>
            <w:rtl/>
          </w:rPr>
          <w:alias w:val="1174"/>
          <w:tag w:val="1174"/>
          <w:id w:val="-1585920285"/>
          <w:text w:multiLine="1"/>
        </w:sdtPr>
        <w:sdtEndPr/>
        <w:sdtContent>
          <w:tc>
            <w:tcPr>
              <w:tcW w:w="8307" w:type="dxa"/>
            </w:tcPr>
            <w:p w:rsidR="00694556" w:rsidRPr="000B344C" w:rsidRDefault="000B344C" w:rsidP="000B344C">
              <w:pPr>
                <w:pStyle w:val="a3"/>
                <w:jc w:val="center"/>
                <w:rPr>
                  <w:rFonts w:ascii="Tahoma" w:hAnsi="Tahoma"/>
                  <w:noProof w:val="0"/>
                  <w:color w:val="000080"/>
                  <w:sz w:val="32"/>
                  <w:szCs w:val="32"/>
                  <w:rtl/>
                </w:rPr>
              </w:pPr>
              <w:r>
                <w:rPr>
                  <w:rFonts w:ascii="Tahoma" w:hAnsi="Tahoma"/>
                  <w:color w:val="000080"/>
                  <w:sz w:val="32"/>
                  <w:szCs w:val="32"/>
                  <w:rtl/>
                </w:rPr>
                <w:t>בית המשפט המחוזי מרכז-לו</w:t>
              </w:r>
              <w:r>
                <w:rPr>
                  <w:rFonts w:ascii="Tahoma" w:hAnsi="Tahoma" w:hint="cs"/>
                  <w:color w:val="000080"/>
                  <w:sz w:val="32"/>
                  <w:szCs w:val="32"/>
                  <w:rtl/>
                </w:rPr>
                <w:t>ד</w:t>
              </w:r>
              <w:r>
                <w:rPr>
                  <w:rFonts w:ascii="Tahoma" w:hAnsi="Tahoma"/>
                  <w:color w:val="000080"/>
                  <w:sz w:val="32"/>
                  <w:szCs w:val="32"/>
                  <w:rtl/>
                </w:rPr>
                <w:br/>
              </w:r>
              <w:r>
                <w:rPr>
                  <w:rFonts w:ascii="Tahoma" w:hAnsi="Tahoma"/>
                  <w:color w:val="000080"/>
                  <w:sz w:val="32"/>
                  <w:szCs w:val="32"/>
                  <w:rtl/>
                </w:rPr>
                <w:br/>
              </w:r>
              <w:r>
                <w:rPr>
                  <w:rFonts w:ascii="Tahoma" w:hAnsi="Tahoma"/>
                  <w:color w:val="000080"/>
                  <w:sz w:val="32"/>
                  <w:szCs w:val="32"/>
                  <w:rtl/>
                </w:rPr>
                <w:br/>
              </w:r>
            </w:p>
          </w:tc>
        </w:sdtContent>
      </w:sdt>
    </w:tr>
    <w:tr w:rsidR="00694556" w:rsidTr="000B344C">
      <w:trPr>
        <w:trHeight w:val="337"/>
        <w:jc w:val="center"/>
      </w:trPr>
      <w:tc>
        <w:tcPr>
          <w:tcW w:w="8307" w:type="dxa"/>
        </w:tcPr>
        <w:p w:rsidR="007D45E3" w:rsidRDefault="00E41EA9" w:rsidP="00CD516B">
          <w:pPr>
            <w:rPr>
              <w:b/>
              <w:bCs/>
              <w:noProof w:val="0"/>
              <w:sz w:val="26"/>
              <w:szCs w:val="26"/>
              <w:rtl/>
            </w:rPr>
          </w:pPr>
          <w:sdt>
            <w:sdtPr>
              <w:rPr>
                <w:rtl/>
              </w:rPr>
              <w:alias w:val="1170"/>
              <w:tag w:val="1170"/>
              <w:id w:val="1066377040"/>
              <w:text w:multiLine="1"/>
            </w:sdtPr>
            <w:sdtEndPr/>
            <w:sdtContent>
              <w:r w:rsidR="00E765F7">
                <w:rPr>
                  <w:b/>
                  <w:bCs/>
                  <w:noProof w:val="0"/>
                  <w:sz w:val="26"/>
                  <w:szCs w:val="26"/>
                  <w:rtl/>
                </w:rPr>
                <w:t>ע"ח</w:t>
              </w:r>
            </w:sdtContent>
          </w:sdt>
          <w:r w:rsidR="00005C8B">
            <w:rPr>
              <w:b/>
              <w:bCs/>
              <w:noProof w:val="0"/>
              <w:sz w:val="26"/>
              <w:szCs w:val="26"/>
              <w:rtl/>
            </w:rPr>
            <w:t xml:space="preserve"> </w:t>
          </w:r>
          <w:sdt>
            <w:sdtPr>
              <w:rPr>
                <w:rtl/>
              </w:rPr>
              <w:alias w:val="1171"/>
              <w:tag w:val="1171"/>
              <w:id w:val="257034231"/>
              <w:text w:multiLine="1"/>
            </w:sdtPr>
            <w:sdtEndPr/>
            <w:sdtContent>
              <w:r w:rsidR="00E765F7">
                <w:rPr>
                  <w:b/>
                  <w:bCs/>
                  <w:noProof w:val="0"/>
                  <w:sz w:val="26"/>
                  <w:szCs w:val="26"/>
                  <w:rtl/>
                </w:rPr>
                <w:t>62702-06-24</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E765F7">
                <w:rPr>
                  <w:b/>
                  <w:bCs/>
                  <w:noProof w:val="0"/>
                  <w:sz w:val="26"/>
                  <w:szCs w:val="26"/>
                  <w:rtl/>
                </w:rPr>
                <w:t>רגב נ' מדינת ישראל</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7D45E3" w:rsidP="007D45E3">
          <w:pPr>
            <w:rPr>
              <w:sz w:val="20"/>
              <w:szCs w:val="20"/>
              <w:rtl/>
            </w:rPr>
          </w:pPr>
          <w:r w:rsidRPr="00E1068A">
            <w:rPr>
              <w:rFonts w:hint="cs"/>
              <w:sz w:val="20"/>
              <w:szCs w:val="20"/>
              <w:rtl/>
            </w:rPr>
            <w:t xml:space="preserve"> </w:t>
          </w:r>
          <w:r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4850" w:rsidRDefault="007E485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CB7AAD"/>
    <w:multiLevelType w:val="hybridMultilevel"/>
    <w:tmpl w:val="4FF862E4"/>
    <w:lvl w:ilvl="0" w:tplc="4408670C">
      <w:start w:val="1"/>
      <w:numFmt w:val="decimal"/>
      <w:lvlText w:val="%1."/>
      <w:lvlJc w:val="left"/>
      <w:pPr>
        <w:ind w:left="3600" w:hanging="360"/>
      </w:pPr>
      <w:rPr>
        <w:lang w:bidi="he-IL"/>
      </w:rPr>
    </w:lvl>
    <w:lvl w:ilvl="1" w:tplc="37CCEB4C">
      <w:start w:val="1"/>
      <w:numFmt w:val="lowerLetter"/>
      <w:lvlText w:val="%2."/>
      <w:lvlJc w:val="left"/>
      <w:pPr>
        <w:ind w:left="4320" w:hanging="360"/>
      </w:pPr>
    </w:lvl>
    <w:lvl w:ilvl="2" w:tplc="48D0DE58">
      <w:start w:val="1"/>
      <w:numFmt w:val="lowerRoman"/>
      <w:lvlText w:val="%3."/>
      <w:lvlJc w:val="right"/>
      <w:pPr>
        <w:ind w:left="5040" w:hanging="180"/>
      </w:pPr>
    </w:lvl>
    <w:lvl w:ilvl="3" w:tplc="85242B8C">
      <w:start w:val="1"/>
      <w:numFmt w:val="decimal"/>
      <w:lvlText w:val="%4."/>
      <w:lvlJc w:val="left"/>
      <w:pPr>
        <w:ind w:left="5760" w:hanging="360"/>
      </w:pPr>
    </w:lvl>
    <w:lvl w:ilvl="4" w:tplc="218C65EC">
      <w:start w:val="1"/>
      <w:numFmt w:val="lowerLetter"/>
      <w:lvlText w:val="%5."/>
      <w:lvlJc w:val="left"/>
      <w:pPr>
        <w:ind w:left="6480" w:hanging="360"/>
      </w:pPr>
    </w:lvl>
    <w:lvl w:ilvl="5" w:tplc="8AA2EAC2">
      <w:start w:val="1"/>
      <w:numFmt w:val="lowerRoman"/>
      <w:lvlText w:val="%6."/>
      <w:lvlJc w:val="right"/>
      <w:pPr>
        <w:ind w:left="7200" w:hanging="180"/>
      </w:pPr>
    </w:lvl>
    <w:lvl w:ilvl="6" w:tplc="D016740E">
      <w:start w:val="1"/>
      <w:numFmt w:val="decimal"/>
      <w:lvlText w:val="%7."/>
      <w:lvlJc w:val="left"/>
      <w:pPr>
        <w:ind w:left="7920" w:hanging="360"/>
      </w:pPr>
    </w:lvl>
    <w:lvl w:ilvl="7" w:tplc="999A2B42">
      <w:start w:val="1"/>
      <w:numFmt w:val="lowerLetter"/>
      <w:lvlText w:val="%8."/>
      <w:lvlJc w:val="left"/>
      <w:pPr>
        <w:ind w:left="8640" w:hanging="360"/>
      </w:pPr>
    </w:lvl>
    <w:lvl w:ilvl="8" w:tplc="D06EA232">
      <w:start w:val="1"/>
      <w:numFmt w:val="lowerRoman"/>
      <w:lvlText w:val="%9."/>
      <w:lvlJc w:val="right"/>
      <w:pPr>
        <w:ind w:left="936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34882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348821&amp;lt;/CaseID&amp;gt;_x000d__x000a_        &amp;lt;CaseMonth&amp;gt;6&amp;lt;/CaseMonth&amp;gt;_x000d__x000a_        &amp;lt;CaseYear&amp;gt;2024&amp;lt;/CaseYear&amp;gt;_x000d__x000a_        &amp;lt;CaseNumber&amp;gt;62702&amp;lt;/CaseNumber&amp;gt;_x000d__x000a_        &amp;lt;NumeratorGroupID&amp;gt;1&amp;lt;/NumeratorGroupID&amp;gt;_x000d__x000a_        &amp;lt;CaseName&amp;gt;רגב נ&amp;#39; מדינת ישראל&amp;lt;/CaseName&amp;gt;_x000d__x000a_        &amp;lt;CourtID&amp;gt;896&amp;lt;/CourtID&amp;gt;_x000d__x000a_        &amp;lt;CaseTypeID&amp;gt;10178&amp;lt;/CaseTypeID&amp;gt;_x000d__x000a_        &amp;lt;CaseJudgeName&amp;gt;עמית מיכלס&amp;lt;/CaseJudgeName&amp;gt;_x000d__x000a_        &amp;lt;CaseLinkTypeID&amp;gt;7&amp;lt;/CaseLinkTypeID&amp;gt;_x000d__x000a_        &amp;lt;ProcedureID&amp;gt;2&amp;lt;/ProcedureID&amp;gt;_x000d__x000a_        &amp;lt;CaseStatusID&amp;gt;1&amp;lt;/CaseStatusID&amp;gt;_x000d__x000a_        &amp;lt;ProceedingID&amp;gt;18&amp;lt;/ProceedingID&amp;gt;_x000d__x000a_        &amp;lt;IsCaseLinked&amp;gt;true&amp;lt;/IsCaseLinked&amp;gt;_x000d__x000a_        &amp;lt;PrivilegeID&amp;gt;1&amp;lt;/PrivilegeID&amp;gt;_x000d__x000a_        &amp;lt;IsAppealingCaseExist&amp;gt;false&amp;lt;/IsAppealingCaseExist&amp;gt;_x000d__x000a_        &amp;lt;CaseDisplayIdentifier&amp;gt;62702-06-24&amp;lt;/CaseDisplayIdentifier&amp;gt;_x000d__x000a_        &amp;lt;CaseTypeDesc&amp;gt;ע&amp;quot;ח&amp;lt;/CaseTypeDesc&amp;gt;_x000d__x000a_        &amp;lt;CourtDesc&amp;gt;המחוזי מרכז &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4-06-27T12:43:00+03:00&amp;lt;/CaseOpenDate&amp;gt;_x000d__x000a_        &amp;lt;PleaTypeID&amp;gt;18&amp;lt;/PleaTypeID&amp;gt;_x000d__x000a_        &amp;lt;CourtLevelID&amp;gt;2&amp;lt;/CourtLevelID&amp;gt;_x000d__x000a_        &amp;lt;CourtLevelCaseTypeInterestID&amp;gt;1420&amp;lt;/CourtLevelCaseTypeInterestID&amp;gt;_x000d__x000a_        &amp;lt;CaseJudgeFirstName&amp;gt;עמית&amp;lt;/CaseJudgeFirstName&amp;gt;_x000d__x000a_        &amp;lt;CaseJudgeLastName&amp;gt;מיכלס&amp;lt;/CaseJudgeLastName&amp;gt;_x000d__x000a_        &amp;lt;JudicalPersonID&amp;gt;028969640@GOV.IL&amp;lt;/JudicalPersonID&amp;gt;_x000d__x000a_        &amp;lt;IsJudicalPanel&amp;gt;false&amp;lt;/IsJudicalPanel&amp;gt;_x000d__x000a_        &amp;lt;CourtDisplayName&amp;gt;בית המשפט המחוזי מרכז-לוד&amp;lt;/CourtDisplayName&amp;gt;_x000d__x000a_        &amp;lt;IsAllStartDataCollected&amp;gt;true&amp;lt;/IsAllStartDataCollected&amp;gt;_x000d__x000a_        &amp;lt;IsMainCase&amp;gt;true&amp;lt;/IsMainCase&amp;gt;_x000d__x000a_        &amp;lt;CaseDesc&amp;gt;החלטה 27/6/24 נשלחה בפקס ידני לבכ העוררת ואלי צמח מלהב 433 בווצאפ&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348821&amp;lt;/CaseID&amp;gt;_x000d__x000a_        &amp;lt;CaseMonth&amp;gt;6&amp;lt;/CaseMonth&amp;gt;_x000d__x000a_        &amp;lt;CaseYear&amp;gt;2024&amp;lt;/CaseYear&amp;gt;_x000d__x000a_        &amp;lt;CaseNumber&amp;gt;62702&amp;lt;/CaseNumber&amp;gt;_x000d__x000a_        &amp;lt;NumeratorGroupID&amp;gt;1&amp;lt;/NumeratorGroupID&amp;gt;_x000d__x000a_        &amp;lt;CaseName&amp;gt;רגב נ&amp;#39; מדינת ישראל&amp;lt;/CaseName&amp;gt;_x000d__x000a_        &amp;lt;CourtID&amp;gt;896&amp;lt;/CourtID&amp;gt;_x000d__x000a_        &amp;lt;CaseTypeID&amp;gt;10178&amp;lt;/CaseTypeID&amp;gt;_x000d__x000a_        &amp;lt;CaseJudgeName&amp;gt;עמית מיכלס&amp;lt;/CaseJudgeName&amp;gt;_x000d__x000a_        &amp;lt;CaseLinkTypeID&amp;gt;7&amp;lt;/CaseLinkTypeID&amp;gt;_x000d__x000a_        &amp;lt;ProcedureID&amp;gt;2&amp;lt;/ProcedureID&amp;gt;_x000d__x000a_        &amp;lt;CaseStatusID&amp;gt;1&amp;lt;/CaseStatusID&amp;gt;_x000d__x000a_        &amp;lt;ProceedingID&amp;gt;18&amp;lt;/ProceedingID&amp;gt;_x000d__x000a_        &amp;lt;IsCaseLinked&amp;gt;true&amp;lt;/IsCaseLinked&amp;gt;_x000d__x000a_        &amp;lt;PrivilegeID&amp;gt;1&amp;lt;/PrivilegeID&amp;gt;_x000d__x000a_        &amp;lt;IsAppealingCaseExist&amp;gt;false&amp;lt;/IsAppealingCaseExist&amp;gt;_x000d__x000a_        &amp;lt;CaseDisplayIdentifier&amp;gt;62702-06-24&amp;lt;/CaseDisplayIdentifier&amp;gt;_x000d__x000a_        &amp;lt;CaseTypeDesc&amp;gt;ע&amp;quot;ח&amp;lt;/CaseTypeDesc&amp;gt;_x000d__x000a_        &amp;lt;CourtDesc&amp;gt;המחוזי מרכז &amp;lt;/CourtDesc&amp;gt;_x000d__x000a_        &amp;lt;CaseStageDesc&amp;gt;תיק אלקטרוני&amp;lt;/CaseStageDesc&amp;gt;_x000d__x000a_        &amp;lt;CaseNextDeterminingTask&amp;gt;151&amp;lt;/CaseNextDeterminingTask&amp;gt;_x000d__x000a_        &amp;lt;CaseOpenDate&amp;gt;2024-06-27T12:43:00+03:00&amp;lt;/CaseOpenDate&amp;gt;_x000d__x000a_        &amp;lt;PleaTypeID&amp;gt;18&amp;lt;/PleaTypeID&amp;gt;_x000d__x000a_        &amp;lt;CourtLevelID&amp;gt;2&amp;lt;/CourtLevelID&amp;gt;_x000d__x000a_        &amp;lt;CourtLevelCaseTypeInterestID&amp;gt;1420&amp;lt;/CourtLevelCaseTypeInterestID&amp;gt;_x000d__x000a_        &amp;lt;CaseJudgeFirstName&amp;gt;עמית&amp;lt;/CaseJudgeFirstName&amp;gt;_x000d__x000a_        &amp;lt;CaseJudgeLastName&amp;gt;מיכלס&amp;lt;/CaseJudgeLastName&amp;gt;_x000d__x000a_        &amp;lt;JudicalPersonID&amp;gt;028969640@GOV.IL&amp;lt;/JudicalPersonID&amp;gt;_x000d__x000a_        &amp;lt;IsJudicalPanel&amp;gt;false&amp;lt;/IsJudicalPanel&amp;gt;_x000d__x000a_        &amp;lt;CourtDisplayName&amp;gt;בית המשפט המחוזי מרכז-לוד&amp;lt;/CourtDisplayName&amp;gt;_x000d__x000a_        &amp;lt;IsAllStartDataCollected&amp;gt;true&amp;lt;/IsAllStartDataCollected&amp;gt;_x000d__x000a_        &amp;lt;IsMainCase&amp;gt;true&amp;lt;/IsMainCase&amp;gt;_x000d__x000a_        &amp;lt;CaseDesc&amp;gt;החלטה 27/6/24 נשלחה בפקס ידני לבכ העוררת ואלי צמח מלהב 433 בווצאפ&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89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917796&amp;lt;/DecisionID&amp;gt;_x000d__x000a_        &amp;lt;DecisionName&amp;gt;החלטה  שניתנה ע&amp;quot;י  עמית מיכלס&amp;lt;/DecisionName&amp;gt;_x000d__x000a_        &amp;lt;DecisionStatusID&amp;gt;1&amp;lt;/DecisionStatusID&amp;gt;_x000d__x000a_        &amp;lt;DecisionStatusChangeDate&amp;gt;2024-07-27T23:54:43.317+03:00&amp;lt;/DecisionStatusChangeDate&amp;gt;_x000d__x000a_        &amp;lt;DecisionSignatureDate&amp;gt;2024-07-17T08:18:51.997+03:00&amp;lt;/DecisionSignatureDate&amp;gt;_x000d__x000a_        &amp;lt;DecisionSignatureUserID&amp;gt;028969640@GOV.IL&amp;lt;/DecisionSignatureUserID&amp;gt;_x000d__x000a_        &amp;lt;DecisionCreateDate&amp;gt;2024-07-17T08:19:46.257+03:00&amp;lt;/DecisionCreateDate&amp;gt;_x000d__x000a_        &amp;lt;DecisionChangeDate&amp;gt;2024-07-27T23:54:43.52+03:00&amp;lt;/DecisionChangeDate&amp;gt;_x000d__x000a_        &amp;lt;DecisionChangeUserID&amp;gt;02896964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9057241&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96964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969640@GOV.IL&amp;lt;/DecisionCreationUserID&amp;gt;_x000d__x000a_        &amp;lt;DecisionDisplayName&amp;gt;החלטה  שניתנה ע&amp;quot;י  עמית מיכלס&amp;lt;/DecisionDisplayName&amp;gt;_x000d__x000a_        &amp;lt;IsScanned&amp;gt;false&amp;lt;/IsScanned&amp;gt;_x000d__x000a_        &amp;lt;DecisionSignatureUserName&amp;gt;עמית מיכלס&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0&amp;lt;/DecisionNumberInCase&amp;gt;_x000d__x000a_      &amp;lt;/dt_Decision&amp;gt;_x000d__x000a_      &amp;lt;dt_DecisionCase diffgr:id=&amp;quot;dt_DecisionCase1&amp;quot; msdata:rowOrder=&amp;quot;0&amp;quot;&amp;gt;_x000d__x000a_        &amp;lt;DecisionID&amp;gt;152917796&amp;lt;/DecisionID&amp;gt;_x000d__x000a_        &amp;lt;CaseID&amp;gt;81348821&amp;lt;/CaseID&amp;gt;_x000d__x000a_        &amp;lt;IsOriginal&amp;gt;true&amp;lt;/IsOriginal&amp;gt;_x000d__x000a_        &amp;lt;IsDeleted&amp;gt;false&amp;lt;/IsDeleted&amp;gt;_x000d__x000a_        &amp;lt;CaseName&amp;gt;רגב נ&amp;#39; מדינת ישראל&amp;lt;/CaseName&amp;gt;_x000d__x000a_        &amp;lt;CaseDisplayIdentifier&amp;gt;62702-06-24 ע&amp;quot;ח&amp;lt;/CaseDisplayIdentifier&amp;gt;_x000d__x000a_      &amp;lt;/dt_DecisionCase&amp;gt;_x000d__x000a_    &amp;lt;/DecisionDS&amp;gt;_x000d__x000a_  &amp;lt;/diffgr:diffgram&amp;gt;_x000d__x000a_&amp;lt;/DecisionDS&amp;gt;"/>
    <w:docVar w:name="DecisionID" w:val="152917796"/>
    <w:docVar w:name="WordClientAssemblyName" w:val="NGCS.Decision.ClientWordBL"/>
    <w:docVar w:name="WordClientClassName" w:val="NGCS.Decision.ClientWordBL.DecisionClient"/>
  </w:docVars>
  <w:rsids>
    <w:rsidRoot w:val="00694556"/>
    <w:rsid w:val="00000062"/>
    <w:rsid w:val="0000226B"/>
    <w:rsid w:val="00005C8B"/>
    <w:rsid w:val="00007DE0"/>
    <w:rsid w:val="000327C1"/>
    <w:rsid w:val="000346CC"/>
    <w:rsid w:val="000529D2"/>
    <w:rsid w:val="000564AB"/>
    <w:rsid w:val="00064FBD"/>
    <w:rsid w:val="00072EE4"/>
    <w:rsid w:val="00082AB2"/>
    <w:rsid w:val="000859D8"/>
    <w:rsid w:val="000864F3"/>
    <w:rsid w:val="000906FE"/>
    <w:rsid w:val="00096AF7"/>
    <w:rsid w:val="000A6459"/>
    <w:rsid w:val="000A64E6"/>
    <w:rsid w:val="000B344B"/>
    <w:rsid w:val="000B344C"/>
    <w:rsid w:val="000C3B0F"/>
    <w:rsid w:val="000C3B60"/>
    <w:rsid w:val="000C546D"/>
    <w:rsid w:val="000C6756"/>
    <w:rsid w:val="000C75C2"/>
    <w:rsid w:val="000D7E2B"/>
    <w:rsid w:val="000E0DD2"/>
    <w:rsid w:val="000E183A"/>
    <w:rsid w:val="000E3AF1"/>
    <w:rsid w:val="000E5E21"/>
    <w:rsid w:val="000E671F"/>
    <w:rsid w:val="000F0BC8"/>
    <w:rsid w:val="000F0DD6"/>
    <w:rsid w:val="000F55E9"/>
    <w:rsid w:val="00103E26"/>
    <w:rsid w:val="00107E6D"/>
    <w:rsid w:val="0011194C"/>
    <w:rsid w:val="0011424C"/>
    <w:rsid w:val="0011432F"/>
    <w:rsid w:val="001173C6"/>
    <w:rsid w:val="00120EE1"/>
    <w:rsid w:val="0012756C"/>
    <w:rsid w:val="00134EE0"/>
    <w:rsid w:val="0013633C"/>
    <w:rsid w:val="001367BC"/>
    <w:rsid w:val="00140E04"/>
    <w:rsid w:val="00144D2A"/>
    <w:rsid w:val="0014653E"/>
    <w:rsid w:val="00152EAC"/>
    <w:rsid w:val="001657E9"/>
    <w:rsid w:val="00173E47"/>
    <w:rsid w:val="001771AE"/>
    <w:rsid w:val="00180519"/>
    <w:rsid w:val="00182059"/>
    <w:rsid w:val="00182E5D"/>
    <w:rsid w:val="00191C82"/>
    <w:rsid w:val="00194DA8"/>
    <w:rsid w:val="001A3818"/>
    <w:rsid w:val="001A516C"/>
    <w:rsid w:val="001A5224"/>
    <w:rsid w:val="001C00D9"/>
    <w:rsid w:val="001C4003"/>
    <w:rsid w:val="001D071D"/>
    <w:rsid w:val="001D4DBF"/>
    <w:rsid w:val="001D511F"/>
    <w:rsid w:val="001D5951"/>
    <w:rsid w:val="001E2359"/>
    <w:rsid w:val="001E75CA"/>
    <w:rsid w:val="001F1146"/>
    <w:rsid w:val="001F6449"/>
    <w:rsid w:val="00201F10"/>
    <w:rsid w:val="00213A68"/>
    <w:rsid w:val="0022462A"/>
    <w:rsid w:val="00224ABC"/>
    <w:rsid w:val="002265FF"/>
    <w:rsid w:val="00233E23"/>
    <w:rsid w:val="00235B97"/>
    <w:rsid w:val="00237250"/>
    <w:rsid w:val="00242E48"/>
    <w:rsid w:val="00243579"/>
    <w:rsid w:val="002443C0"/>
    <w:rsid w:val="00254447"/>
    <w:rsid w:val="00271B56"/>
    <w:rsid w:val="00280806"/>
    <w:rsid w:val="00292F26"/>
    <w:rsid w:val="00294EE6"/>
    <w:rsid w:val="00296E1E"/>
    <w:rsid w:val="002B006D"/>
    <w:rsid w:val="002B08CE"/>
    <w:rsid w:val="002B3DDE"/>
    <w:rsid w:val="002C1716"/>
    <w:rsid w:val="002C344E"/>
    <w:rsid w:val="002C715B"/>
    <w:rsid w:val="002D1463"/>
    <w:rsid w:val="002E2338"/>
    <w:rsid w:val="002E6FAB"/>
    <w:rsid w:val="002E75E9"/>
    <w:rsid w:val="002F0B1E"/>
    <w:rsid w:val="002F205E"/>
    <w:rsid w:val="002F7937"/>
    <w:rsid w:val="00301D74"/>
    <w:rsid w:val="00307A6A"/>
    <w:rsid w:val="00307C40"/>
    <w:rsid w:val="00320433"/>
    <w:rsid w:val="003230C7"/>
    <w:rsid w:val="003261CB"/>
    <w:rsid w:val="0032675C"/>
    <w:rsid w:val="00327A7C"/>
    <w:rsid w:val="00327E50"/>
    <w:rsid w:val="0033597A"/>
    <w:rsid w:val="00343D89"/>
    <w:rsid w:val="00350D8B"/>
    <w:rsid w:val="003541A7"/>
    <w:rsid w:val="00357859"/>
    <w:rsid w:val="00361D16"/>
    <w:rsid w:val="00362612"/>
    <w:rsid w:val="0036743F"/>
    <w:rsid w:val="00370289"/>
    <w:rsid w:val="003715DD"/>
    <w:rsid w:val="00372429"/>
    <w:rsid w:val="003823E0"/>
    <w:rsid w:val="00392BB9"/>
    <w:rsid w:val="00397296"/>
    <w:rsid w:val="003A21AB"/>
    <w:rsid w:val="003A4521"/>
    <w:rsid w:val="003A5766"/>
    <w:rsid w:val="003A6B1F"/>
    <w:rsid w:val="003B3E8D"/>
    <w:rsid w:val="003B5AA6"/>
    <w:rsid w:val="003B6F13"/>
    <w:rsid w:val="003C2192"/>
    <w:rsid w:val="003C4967"/>
    <w:rsid w:val="003D1C8C"/>
    <w:rsid w:val="003D53B7"/>
    <w:rsid w:val="003D5761"/>
    <w:rsid w:val="003E4EAB"/>
    <w:rsid w:val="003E6EA2"/>
    <w:rsid w:val="003E7AE3"/>
    <w:rsid w:val="003F6630"/>
    <w:rsid w:val="0040096C"/>
    <w:rsid w:val="00411A96"/>
    <w:rsid w:val="004146B9"/>
    <w:rsid w:val="00414D8E"/>
    <w:rsid w:val="00414F1F"/>
    <w:rsid w:val="00424C4E"/>
    <w:rsid w:val="0043125D"/>
    <w:rsid w:val="0043502B"/>
    <w:rsid w:val="00437319"/>
    <w:rsid w:val="004379B7"/>
    <w:rsid w:val="004443AC"/>
    <w:rsid w:val="00444B02"/>
    <w:rsid w:val="00451E28"/>
    <w:rsid w:val="004549C7"/>
    <w:rsid w:val="0045543D"/>
    <w:rsid w:val="004608B9"/>
    <w:rsid w:val="00462C62"/>
    <w:rsid w:val="00465D36"/>
    <w:rsid w:val="00477420"/>
    <w:rsid w:val="00490112"/>
    <w:rsid w:val="004909DC"/>
    <w:rsid w:val="004927E2"/>
    <w:rsid w:val="004B3F62"/>
    <w:rsid w:val="004B4EEF"/>
    <w:rsid w:val="004C17EE"/>
    <w:rsid w:val="004C4BDF"/>
    <w:rsid w:val="004C5801"/>
    <w:rsid w:val="004D1187"/>
    <w:rsid w:val="004D3AA0"/>
    <w:rsid w:val="004E1987"/>
    <w:rsid w:val="004E2E15"/>
    <w:rsid w:val="004E6E3C"/>
    <w:rsid w:val="004E760D"/>
    <w:rsid w:val="004F12FF"/>
    <w:rsid w:val="004F145E"/>
    <w:rsid w:val="004F4363"/>
    <w:rsid w:val="00501AAD"/>
    <w:rsid w:val="0050786D"/>
    <w:rsid w:val="00511B52"/>
    <w:rsid w:val="00511B90"/>
    <w:rsid w:val="005154AC"/>
    <w:rsid w:val="0051756A"/>
    <w:rsid w:val="00517687"/>
    <w:rsid w:val="00520898"/>
    <w:rsid w:val="00523621"/>
    <w:rsid w:val="00524986"/>
    <w:rsid w:val="005268F6"/>
    <w:rsid w:val="00531852"/>
    <w:rsid w:val="00534284"/>
    <w:rsid w:val="0054008C"/>
    <w:rsid w:val="00545A4A"/>
    <w:rsid w:val="00547DB7"/>
    <w:rsid w:val="005527CD"/>
    <w:rsid w:val="0055656F"/>
    <w:rsid w:val="0055743F"/>
    <w:rsid w:val="00566F9E"/>
    <w:rsid w:val="0057562B"/>
    <w:rsid w:val="00592E11"/>
    <w:rsid w:val="005970BF"/>
    <w:rsid w:val="005B10E4"/>
    <w:rsid w:val="005B2088"/>
    <w:rsid w:val="005B29C2"/>
    <w:rsid w:val="005C0627"/>
    <w:rsid w:val="005D3957"/>
    <w:rsid w:val="005E396C"/>
    <w:rsid w:val="005E5143"/>
    <w:rsid w:val="005F4F09"/>
    <w:rsid w:val="005F6DBA"/>
    <w:rsid w:val="00611086"/>
    <w:rsid w:val="0061431B"/>
    <w:rsid w:val="0061649B"/>
    <w:rsid w:val="00622BAA"/>
    <w:rsid w:val="00623A60"/>
    <w:rsid w:val="00623FD1"/>
    <w:rsid w:val="006306CF"/>
    <w:rsid w:val="006318D8"/>
    <w:rsid w:val="00633E5D"/>
    <w:rsid w:val="0063583D"/>
    <w:rsid w:val="00640009"/>
    <w:rsid w:val="00644E9A"/>
    <w:rsid w:val="00653DD6"/>
    <w:rsid w:val="00655380"/>
    <w:rsid w:val="006617D7"/>
    <w:rsid w:val="00671BD5"/>
    <w:rsid w:val="006805C1"/>
    <w:rsid w:val="00683C3C"/>
    <w:rsid w:val="00684B4E"/>
    <w:rsid w:val="00686C21"/>
    <w:rsid w:val="006931C1"/>
    <w:rsid w:val="00694556"/>
    <w:rsid w:val="006B7258"/>
    <w:rsid w:val="006C30C5"/>
    <w:rsid w:val="006C4F4A"/>
    <w:rsid w:val="006D21CB"/>
    <w:rsid w:val="006D3B31"/>
    <w:rsid w:val="006E0D96"/>
    <w:rsid w:val="006E1A53"/>
    <w:rsid w:val="006F56E6"/>
    <w:rsid w:val="0070290B"/>
    <w:rsid w:val="00704EDA"/>
    <w:rsid w:val="00705241"/>
    <w:rsid w:val="00710048"/>
    <w:rsid w:val="007133C0"/>
    <w:rsid w:val="00721122"/>
    <w:rsid w:val="00731C52"/>
    <w:rsid w:val="00734689"/>
    <w:rsid w:val="00742BC5"/>
    <w:rsid w:val="00753019"/>
    <w:rsid w:val="00754801"/>
    <w:rsid w:val="00761441"/>
    <w:rsid w:val="00761559"/>
    <w:rsid w:val="00761B66"/>
    <w:rsid w:val="00765A3E"/>
    <w:rsid w:val="00765F23"/>
    <w:rsid w:val="00793490"/>
    <w:rsid w:val="00795365"/>
    <w:rsid w:val="007A0702"/>
    <w:rsid w:val="007A107D"/>
    <w:rsid w:val="007A351D"/>
    <w:rsid w:val="007B7765"/>
    <w:rsid w:val="007C118D"/>
    <w:rsid w:val="007C5BDD"/>
    <w:rsid w:val="007C5D20"/>
    <w:rsid w:val="007D06CB"/>
    <w:rsid w:val="007D45E3"/>
    <w:rsid w:val="007E4850"/>
    <w:rsid w:val="007E57D9"/>
    <w:rsid w:val="007E6115"/>
    <w:rsid w:val="007F35BD"/>
    <w:rsid w:val="007F4609"/>
    <w:rsid w:val="007F53D5"/>
    <w:rsid w:val="007F5F64"/>
    <w:rsid w:val="00800CEF"/>
    <w:rsid w:val="00803CC5"/>
    <w:rsid w:val="00806745"/>
    <w:rsid w:val="008105D4"/>
    <w:rsid w:val="00814468"/>
    <w:rsid w:val="008176A1"/>
    <w:rsid w:val="00820005"/>
    <w:rsid w:val="00825D4D"/>
    <w:rsid w:val="00827029"/>
    <w:rsid w:val="00827A73"/>
    <w:rsid w:val="00834F61"/>
    <w:rsid w:val="00841158"/>
    <w:rsid w:val="00844318"/>
    <w:rsid w:val="00851257"/>
    <w:rsid w:val="00861C08"/>
    <w:rsid w:val="00863F5D"/>
    <w:rsid w:val="00867142"/>
    <w:rsid w:val="00870890"/>
    <w:rsid w:val="00872EA1"/>
    <w:rsid w:val="00873602"/>
    <w:rsid w:val="00875D12"/>
    <w:rsid w:val="0088479D"/>
    <w:rsid w:val="00884EDB"/>
    <w:rsid w:val="00890A04"/>
    <w:rsid w:val="00891F42"/>
    <w:rsid w:val="00896889"/>
    <w:rsid w:val="008A59D9"/>
    <w:rsid w:val="008A59EE"/>
    <w:rsid w:val="008A6E95"/>
    <w:rsid w:val="008A6E97"/>
    <w:rsid w:val="008B5DD1"/>
    <w:rsid w:val="008C5714"/>
    <w:rsid w:val="008D10B2"/>
    <w:rsid w:val="008E1357"/>
    <w:rsid w:val="008E52E7"/>
    <w:rsid w:val="00903896"/>
    <w:rsid w:val="00906F3D"/>
    <w:rsid w:val="00922EB1"/>
    <w:rsid w:val="00932E28"/>
    <w:rsid w:val="00936BC1"/>
    <w:rsid w:val="009440E0"/>
    <w:rsid w:val="0094424E"/>
    <w:rsid w:val="00945BFB"/>
    <w:rsid w:val="00955642"/>
    <w:rsid w:val="009622DF"/>
    <w:rsid w:val="0096493F"/>
    <w:rsid w:val="00965F94"/>
    <w:rsid w:val="00966EA4"/>
    <w:rsid w:val="00967DFF"/>
    <w:rsid w:val="009722FD"/>
    <w:rsid w:val="00974D45"/>
    <w:rsid w:val="009763A8"/>
    <w:rsid w:val="009777CA"/>
    <w:rsid w:val="00980C3C"/>
    <w:rsid w:val="00982221"/>
    <w:rsid w:val="00994341"/>
    <w:rsid w:val="00997D32"/>
    <w:rsid w:val="009A34F8"/>
    <w:rsid w:val="009A7C24"/>
    <w:rsid w:val="009B1F0A"/>
    <w:rsid w:val="009B2FC4"/>
    <w:rsid w:val="009C0239"/>
    <w:rsid w:val="009C46C0"/>
    <w:rsid w:val="009C5FC1"/>
    <w:rsid w:val="009C5FF2"/>
    <w:rsid w:val="009D0915"/>
    <w:rsid w:val="009D1A48"/>
    <w:rsid w:val="009E1CE7"/>
    <w:rsid w:val="009E3492"/>
    <w:rsid w:val="009E4EA5"/>
    <w:rsid w:val="009E5F46"/>
    <w:rsid w:val="009F164B"/>
    <w:rsid w:val="009F1D34"/>
    <w:rsid w:val="009F323C"/>
    <w:rsid w:val="009F481E"/>
    <w:rsid w:val="009F5D1B"/>
    <w:rsid w:val="00A147AE"/>
    <w:rsid w:val="00A20FD8"/>
    <w:rsid w:val="00A23692"/>
    <w:rsid w:val="00A24A80"/>
    <w:rsid w:val="00A266D4"/>
    <w:rsid w:val="00A30FC0"/>
    <w:rsid w:val="00A3392B"/>
    <w:rsid w:val="00A35250"/>
    <w:rsid w:val="00A40BBB"/>
    <w:rsid w:val="00A47A14"/>
    <w:rsid w:val="00A72310"/>
    <w:rsid w:val="00A7294D"/>
    <w:rsid w:val="00A75102"/>
    <w:rsid w:val="00A754EC"/>
    <w:rsid w:val="00A81988"/>
    <w:rsid w:val="00A85E34"/>
    <w:rsid w:val="00A87DF6"/>
    <w:rsid w:val="00A9144F"/>
    <w:rsid w:val="00A927C8"/>
    <w:rsid w:val="00A928C0"/>
    <w:rsid w:val="00A94B64"/>
    <w:rsid w:val="00A94C62"/>
    <w:rsid w:val="00A960A6"/>
    <w:rsid w:val="00AA2F0B"/>
    <w:rsid w:val="00AA3229"/>
    <w:rsid w:val="00AA5FE7"/>
    <w:rsid w:val="00AA7596"/>
    <w:rsid w:val="00AA7707"/>
    <w:rsid w:val="00AB07F5"/>
    <w:rsid w:val="00AB5E52"/>
    <w:rsid w:val="00AC04ED"/>
    <w:rsid w:val="00AC2C24"/>
    <w:rsid w:val="00AC3B02"/>
    <w:rsid w:val="00AC3B7B"/>
    <w:rsid w:val="00AC485C"/>
    <w:rsid w:val="00AC5209"/>
    <w:rsid w:val="00AC5857"/>
    <w:rsid w:val="00AD64FE"/>
    <w:rsid w:val="00AE0103"/>
    <w:rsid w:val="00AE0E34"/>
    <w:rsid w:val="00AE2F35"/>
    <w:rsid w:val="00AE3C3D"/>
    <w:rsid w:val="00AE729E"/>
    <w:rsid w:val="00AE7719"/>
    <w:rsid w:val="00AE7752"/>
    <w:rsid w:val="00AF32B3"/>
    <w:rsid w:val="00AF7FDA"/>
    <w:rsid w:val="00B02771"/>
    <w:rsid w:val="00B06F7A"/>
    <w:rsid w:val="00B10DB0"/>
    <w:rsid w:val="00B1232C"/>
    <w:rsid w:val="00B22B05"/>
    <w:rsid w:val="00B27CB3"/>
    <w:rsid w:val="00B30D64"/>
    <w:rsid w:val="00B32BDD"/>
    <w:rsid w:val="00B3743E"/>
    <w:rsid w:val="00B3769B"/>
    <w:rsid w:val="00B4473D"/>
    <w:rsid w:val="00B45A81"/>
    <w:rsid w:val="00B471B5"/>
    <w:rsid w:val="00B51582"/>
    <w:rsid w:val="00B5356E"/>
    <w:rsid w:val="00B5549A"/>
    <w:rsid w:val="00B572A2"/>
    <w:rsid w:val="00B57368"/>
    <w:rsid w:val="00B5745A"/>
    <w:rsid w:val="00B62AD7"/>
    <w:rsid w:val="00B66717"/>
    <w:rsid w:val="00B70D63"/>
    <w:rsid w:val="00B809AD"/>
    <w:rsid w:val="00B80CBD"/>
    <w:rsid w:val="00B86096"/>
    <w:rsid w:val="00B911B0"/>
    <w:rsid w:val="00B95D6E"/>
    <w:rsid w:val="00B964D9"/>
    <w:rsid w:val="00B96853"/>
    <w:rsid w:val="00BA0A7C"/>
    <w:rsid w:val="00BA517C"/>
    <w:rsid w:val="00BB3D05"/>
    <w:rsid w:val="00BB73BE"/>
    <w:rsid w:val="00BB7839"/>
    <w:rsid w:val="00BC1074"/>
    <w:rsid w:val="00BC2D89"/>
    <w:rsid w:val="00BC31CD"/>
    <w:rsid w:val="00BD3074"/>
    <w:rsid w:val="00BD6531"/>
    <w:rsid w:val="00BD77D3"/>
    <w:rsid w:val="00BE05B2"/>
    <w:rsid w:val="00BF161E"/>
    <w:rsid w:val="00BF1908"/>
    <w:rsid w:val="00C006DF"/>
    <w:rsid w:val="00C00ABF"/>
    <w:rsid w:val="00C10F80"/>
    <w:rsid w:val="00C16C4B"/>
    <w:rsid w:val="00C22D93"/>
    <w:rsid w:val="00C23458"/>
    <w:rsid w:val="00C236DE"/>
    <w:rsid w:val="00C251DE"/>
    <w:rsid w:val="00C2773F"/>
    <w:rsid w:val="00C31120"/>
    <w:rsid w:val="00C314B2"/>
    <w:rsid w:val="00C34482"/>
    <w:rsid w:val="00C354DD"/>
    <w:rsid w:val="00C36B53"/>
    <w:rsid w:val="00C415CA"/>
    <w:rsid w:val="00C43648"/>
    <w:rsid w:val="00C50A9F"/>
    <w:rsid w:val="00C6270F"/>
    <w:rsid w:val="00C633A0"/>
    <w:rsid w:val="00C642FA"/>
    <w:rsid w:val="00C64ACE"/>
    <w:rsid w:val="00C74FE1"/>
    <w:rsid w:val="00C80B69"/>
    <w:rsid w:val="00CA3EC6"/>
    <w:rsid w:val="00CA531F"/>
    <w:rsid w:val="00CB09EE"/>
    <w:rsid w:val="00CB60DD"/>
    <w:rsid w:val="00CC7622"/>
    <w:rsid w:val="00CD31C7"/>
    <w:rsid w:val="00CD516B"/>
    <w:rsid w:val="00CD608F"/>
    <w:rsid w:val="00CE0084"/>
    <w:rsid w:val="00CE66D9"/>
    <w:rsid w:val="00CF2462"/>
    <w:rsid w:val="00CF6BB7"/>
    <w:rsid w:val="00D016E6"/>
    <w:rsid w:val="00D02D5D"/>
    <w:rsid w:val="00D04AA4"/>
    <w:rsid w:val="00D05773"/>
    <w:rsid w:val="00D16888"/>
    <w:rsid w:val="00D177F3"/>
    <w:rsid w:val="00D179BD"/>
    <w:rsid w:val="00D207B0"/>
    <w:rsid w:val="00D233F1"/>
    <w:rsid w:val="00D248EC"/>
    <w:rsid w:val="00D27982"/>
    <w:rsid w:val="00D33B86"/>
    <w:rsid w:val="00D36D01"/>
    <w:rsid w:val="00D44968"/>
    <w:rsid w:val="00D45A4C"/>
    <w:rsid w:val="00D53924"/>
    <w:rsid w:val="00D55D0C"/>
    <w:rsid w:val="00D57C5D"/>
    <w:rsid w:val="00D63D03"/>
    <w:rsid w:val="00D71830"/>
    <w:rsid w:val="00D730A7"/>
    <w:rsid w:val="00D73B23"/>
    <w:rsid w:val="00D81076"/>
    <w:rsid w:val="00D867C8"/>
    <w:rsid w:val="00D90797"/>
    <w:rsid w:val="00D910B6"/>
    <w:rsid w:val="00D96D8C"/>
    <w:rsid w:val="00DA6649"/>
    <w:rsid w:val="00DB644C"/>
    <w:rsid w:val="00DC1259"/>
    <w:rsid w:val="00DC1A95"/>
    <w:rsid w:val="00DC1BD2"/>
    <w:rsid w:val="00DC2571"/>
    <w:rsid w:val="00DC487C"/>
    <w:rsid w:val="00DD2E16"/>
    <w:rsid w:val="00DD4335"/>
    <w:rsid w:val="00DE1E7D"/>
    <w:rsid w:val="00DE6BF6"/>
    <w:rsid w:val="00DF3FCF"/>
    <w:rsid w:val="00E1068A"/>
    <w:rsid w:val="00E11903"/>
    <w:rsid w:val="00E12744"/>
    <w:rsid w:val="00E2271A"/>
    <w:rsid w:val="00E2330A"/>
    <w:rsid w:val="00E25884"/>
    <w:rsid w:val="00E25B55"/>
    <w:rsid w:val="00E31C2B"/>
    <w:rsid w:val="00E41EA9"/>
    <w:rsid w:val="00E437CD"/>
    <w:rsid w:val="00E51336"/>
    <w:rsid w:val="00E5426A"/>
    <w:rsid w:val="00E54642"/>
    <w:rsid w:val="00E57BCB"/>
    <w:rsid w:val="00E71CDE"/>
    <w:rsid w:val="00E73F88"/>
    <w:rsid w:val="00E765F7"/>
    <w:rsid w:val="00E80CBE"/>
    <w:rsid w:val="00E850D9"/>
    <w:rsid w:val="00E9269D"/>
    <w:rsid w:val="00E962E3"/>
    <w:rsid w:val="00EA1AE7"/>
    <w:rsid w:val="00EA1BA9"/>
    <w:rsid w:val="00EA6A3B"/>
    <w:rsid w:val="00EB1A5F"/>
    <w:rsid w:val="00EB6C79"/>
    <w:rsid w:val="00EB77BA"/>
    <w:rsid w:val="00EC37E9"/>
    <w:rsid w:val="00ED6E3E"/>
    <w:rsid w:val="00EE45E3"/>
    <w:rsid w:val="00EE77C9"/>
    <w:rsid w:val="00EE7D33"/>
    <w:rsid w:val="00EF41A6"/>
    <w:rsid w:val="00EF62C7"/>
    <w:rsid w:val="00F038D8"/>
    <w:rsid w:val="00F039B3"/>
    <w:rsid w:val="00F03E8F"/>
    <w:rsid w:val="00F04DBF"/>
    <w:rsid w:val="00F06995"/>
    <w:rsid w:val="00F12D66"/>
    <w:rsid w:val="00F13623"/>
    <w:rsid w:val="00F166FE"/>
    <w:rsid w:val="00F21F4B"/>
    <w:rsid w:val="00F2301A"/>
    <w:rsid w:val="00F27E00"/>
    <w:rsid w:val="00F37A4F"/>
    <w:rsid w:val="00F41F7B"/>
    <w:rsid w:val="00F44D1D"/>
    <w:rsid w:val="00F44D80"/>
    <w:rsid w:val="00F54BC1"/>
    <w:rsid w:val="00F656DF"/>
    <w:rsid w:val="00F66869"/>
    <w:rsid w:val="00F75FA3"/>
    <w:rsid w:val="00F80838"/>
    <w:rsid w:val="00F83F39"/>
    <w:rsid w:val="00F84174"/>
    <w:rsid w:val="00F84B6D"/>
    <w:rsid w:val="00F85E73"/>
    <w:rsid w:val="00F90E36"/>
    <w:rsid w:val="00F944D7"/>
    <w:rsid w:val="00F957E8"/>
    <w:rsid w:val="00FA190F"/>
    <w:rsid w:val="00FA250C"/>
    <w:rsid w:val="00FA2A09"/>
    <w:rsid w:val="00FA311A"/>
    <w:rsid w:val="00FA5FDA"/>
    <w:rsid w:val="00FA7FD0"/>
    <w:rsid w:val="00FB6AB3"/>
    <w:rsid w:val="00FD01BE"/>
    <w:rsid w:val="00FD1419"/>
    <w:rsid w:val="00FD79E4"/>
    <w:rsid w:val="00FE09EC"/>
    <w:rsid w:val="00FE2894"/>
    <w:rsid w:val="00FE2FC9"/>
    <w:rsid w:val="00FF3127"/>
    <w:rsid w:val="00FF4C2E"/>
    <w:rsid w:val="00FF550C"/>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B30D64"/>
    <w:pPr>
      <w:ind w:left="720"/>
      <w:contextualSpacing/>
    </w:pPr>
  </w:style>
  <w:style w:type="character" w:customStyle="1" w:styleId="Ruller4">
    <w:name w:val="Ruller 4 ממוספר תו"/>
    <w:link w:val="Ruller40"/>
    <w:locked/>
    <w:rsid w:val="00490112"/>
    <w:rPr>
      <w:rFonts w:ascii="Garamond" w:hAnsi="Garamond" w:cs="FrankRuehl"/>
      <w:spacing w:val="10"/>
      <w:sz w:val="24"/>
      <w:szCs w:val="28"/>
    </w:rPr>
  </w:style>
  <w:style w:type="paragraph" w:customStyle="1" w:styleId="Ruller40">
    <w:name w:val="Ruller 4 ממוספר"/>
    <w:basedOn w:val="a"/>
    <w:next w:val="a"/>
    <w:link w:val="Ruller4"/>
    <w:qFormat/>
    <w:rsid w:val="00490112"/>
    <w:pPr>
      <w:tabs>
        <w:tab w:val="left" w:pos="800"/>
      </w:tabs>
      <w:overflowPunct w:val="0"/>
      <w:autoSpaceDE w:val="0"/>
      <w:autoSpaceDN w:val="0"/>
      <w:adjustRightInd w:val="0"/>
      <w:spacing w:line="360" w:lineRule="auto"/>
      <w:jc w:val="both"/>
    </w:pPr>
    <w:rPr>
      <w:rFonts w:ascii="Garamond" w:hAnsi="Garamond" w:cs="FrankRuehl"/>
      <w:noProof w:val="0"/>
      <w:spacing w:val="10"/>
      <w:szCs w:val="28"/>
    </w:rPr>
  </w:style>
  <w:style w:type="character" w:styleId="Hyperlink">
    <w:name w:val="Hyperlink"/>
    <w:uiPriority w:val="99"/>
    <w:semiHidden/>
    <w:unhideWhenUsed/>
    <w:rsid w:val="00D9079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998538">
      <w:bodyDiv w:val="1"/>
      <w:marLeft w:val="0"/>
      <w:marRight w:val="0"/>
      <w:marTop w:val="0"/>
      <w:marBottom w:val="0"/>
      <w:divBdr>
        <w:top w:val="none" w:sz="0" w:space="0" w:color="auto"/>
        <w:left w:val="none" w:sz="0" w:space="0" w:color="auto"/>
        <w:bottom w:val="none" w:sz="0" w:space="0" w:color="auto"/>
        <w:right w:val="none" w:sz="0" w:space="0" w:color="auto"/>
      </w:divBdr>
    </w:div>
    <w:div w:id="635531458">
      <w:bodyDiv w:val="1"/>
      <w:marLeft w:val="0"/>
      <w:marRight w:val="0"/>
      <w:marTop w:val="0"/>
      <w:marBottom w:val="0"/>
      <w:divBdr>
        <w:top w:val="none" w:sz="0" w:space="0" w:color="auto"/>
        <w:left w:val="none" w:sz="0" w:space="0" w:color="auto"/>
        <w:bottom w:val="none" w:sz="0" w:space="0" w:color="auto"/>
        <w:right w:val="none" w:sz="0" w:space="0" w:color="auto"/>
      </w:divBdr>
    </w:div>
    <w:div w:id="1029767528">
      <w:bodyDiv w:val="1"/>
      <w:marLeft w:val="0"/>
      <w:marRight w:val="0"/>
      <w:marTop w:val="0"/>
      <w:marBottom w:val="0"/>
      <w:divBdr>
        <w:top w:val="none" w:sz="0" w:space="0" w:color="auto"/>
        <w:left w:val="none" w:sz="0" w:space="0" w:color="auto"/>
        <w:bottom w:val="none" w:sz="0" w:space="0" w:color="auto"/>
        <w:right w:val="none" w:sz="0" w:space="0" w:color="auto"/>
      </w:divBdr>
    </w:div>
    <w:div w:id="1231162279">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law/74918/34"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http://www.nevo.co.il/law/74918/38a"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law/74918/4C"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1.jpg"/><Relationship Id="rId23" Type="http://schemas.openxmlformats.org/officeDocument/2006/relationships/glossaryDocument" Target="glossary/document.xml"/><Relationship Id="rId10" Type="http://schemas.openxmlformats.org/officeDocument/2006/relationships/hyperlink" Target="http://www.nevo.co.il/law/74918/23a"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law/74918/38a"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74356" w:rsidP="00A74356">
          <w:pPr>
            <w:pStyle w:val="E460D38E05664FF79D4EFF282EF8EC9931"/>
          </w:pPr>
          <w:r>
            <w:rPr>
              <w:rFonts w:hint="cs"/>
              <w:rtl/>
            </w:rPr>
            <w:t xml:space="preserve">     </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A74356" w:rsidP="00A74356">
          <w:pPr>
            <w:pStyle w:val="4672CCA166BA4F0A892EB1D7BA0002CB6"/>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A74356" w:rsidP="00A74356">
          <w:pPr>
            <w:pStyle w:val="1C8A38705F7143EA87FF3DEB2C34E7E56"/>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A74356" w:rsidP="00A74356">
          <w:pPr>
            <w:pStyle w:val="4DC45A2FD697422FAA3CD896A84FA7B46"/>
          </w:pPr>
          <w:r w:rsidRPr="00CD516B">
            <w:rPr>
              <w:rFonts w:ascii="Arial" w:hAnsi="Arial"/>
              <w:b/>
              <w:bCs/>
              <w:noProof w:val="0"/>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90FF8"/>
    <w:rsid w:val="000A4ACE"/>
    <w:rsid w:val="001A0763"/>
    <w:rsid w:val="002D02C4"/>
    <w:rsid w:val="002D09CE"/>
    <w:rsid w:val="00345C9D"/>
    <w:rsid w:val="0048651F"/>
    <w:rsid w:val="004B017A"/>
    <w:rsid w:val="005157ED"/>
    <w:rsid w:val="00556D67"/>
    <w:rsid w:val="00673B50"/>
    <w:rsid w:val="00793995"/>
    <w:rsid w:val="007C6F98"/>
    <w:rsid w:val="007E254A"/>
    <w:rsid w:val="008B4366"/>
    <w:rsid w:val="009133C7"/>
    <w:rsid w:val="009178E4"/>
    <w:rsid w:val="00961B27"/>
    <w:rsid w:val="009A36E7"/>
    <w:rsid w:val="00A74356"/>
    <w:rsid w:val="00AA7CE3"/>
    <w:rsid w:val="00B50DB2"/>
    <w:rsid w:val="00B72BC2"/>
    <w:rsid w:val="00B91FA3"/>
    <w:rsid w:val="00BD69D1"/>
    <w:rsid w:val="00BE6557"/>
    <w:rsid w:val="00C96C06"/>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435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A74356"/>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A74356"/>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A74356"/>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A74356"/>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A74356"/>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A74356"/>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A74356"/>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A74356"/>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74356"/>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A74356"/>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A7435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81348821</CaseID>
    <CaseJudicialPersonPresentationDS>
      <CaseJudicalPersonActive>
        <CaseID>81348821</CaseID>
        <JudicialPersonID>028969640@GOV.IL</JudicialPersonID>
        <JudicialPersonTypeID>1</JudicialPersonTypeID>
        <JudicialTypeID>1</JudicialTypeID>
        <IsChairman>false</IsChairman>
        <TreatmentStartDate>2024-06-27T12:45:20.76+03:00</TreatmentStartDate>
        <TreatmentFinishDate>9999-12-31T23:59:59.997+02:00</TreatmentFinishDate>
        <IdentificationCardNumber>028969640</IdentificationCardNumber>
        <DisplayName>עמית מיכלס</DisplayName>
        <JudicialTypeName>שופט</JudicialTypeName>
        <CaseJudicialGroupNumber>0</CaseJudicialGroupNumber>
        <FirstName>עמית</FirstName>
        <LastName>מיכלס</LastName>
        <JudicialPersonTitle>שופט</JudicialPersonTitle>
      </CaseJudicalPersonActive>
    </CaseJudicialPersonPresentationDS>
    <CasePartiesSelectionDS>
      <CaseParties>
        <PartyTypeName>צד</PartyTypeName>
        <ProceedingType>כתב טענות עיקרי</ProceedingType>
        <PleaName>כתב ערר</PleaName>
        <PartyBelonging>צד א'</PartyBelonging>
        <RoleName>עורר 1 - מבקש</RoleName>
        <IsSubProceeding>FALSE</IsSubProceeding>
        <FullName>מירי רגב</FullName>
        <FirstName>מירי</FirstName>
        <LastName>רגב</LastName>
        <PartyPropertyName/>
        <AuthenticationTypeAndNumber>ת"ז 059602714</AuthenticationTypeAndNumber>
        <RepresentatedOrRepresentativesNames>עמית חדד</RepresentatedOrRepresentativesNames>
        <RepresentatedOrRepresentativesCount>1</RepresentatedOrRepresentativesCount>
        <InvitedBy/>
        <CaseID>81348821</CaseID>
        <CaseJudicialPersonPresentationDS>
          <CaseJudicalPersonActive>
            <CaseID>81348821</CaseID>
            <JudicialPersonID>028969640@GOV.IL</JudicialPersonID>
            <JudicialPersonTypeID>1</JudicialPersonTypeID>
            <JudicialTypeID>1</JudicialTypeID>
            <IsChairman>false</IsChairman>
            <TreatmentStartDate>2024-06-27T12:45:20.76+03:00</TreatmentStartDate>
            <TreatmentFinishDate>9999-12-31T23:59:59.997+02:00</TreatmentFinishDate>
            <IdentificationCardNumber>028969640</IdentificationCardNumber>
            <DisplayName>עמית מיכלס</DisplayName>
            <JudicialTypeName>שופט</JudicialTypeName>
            <CaseJudicialGroupNumber>0</CaseJudicialGroupNumber>
            <FirstName>עמית</FirstName>
            <LastName>מיכלס</LastName>
            <JudicialPersonTitle>שופט</JudicialPersonTitle>
          </CaseJudicalPersonActive>
        </CaseJudicialPersonPresentationDS>
        <CasePartyID>272004965</CasePartyID>
        <PartyTypeID>1</PartyTypeID>
        <ActivityStatusID>1</ActivityStatusID>
        <PartyAliasID>16</PartyAliasID>
        <PartyAliasName>עורר</PartyAliasName>
        <OrdinalNumber>1</OrdinalNumber>
        <LegalEntityID>73908493</LegalEntityID>
        <CaseLegalEntityID>129437019</CaseLegalEntityID>
        <AuthenticationTypeID>1</AuthenticationTypeID>
        <AuthenticationTypeName>ת"ז</AuthenticationTypeName>
        <LegalEntityNumber>059602714</LegalEntityNumber>
        <IsMainPartyType>true</IsMainPartyType>
        <CaseDisplayIdentifier>62702-06-24</CaseDisplayIdentifier>
        <CaseTypeID>10178</CaseTypeID>
        <CaseTypeName>ערר אחר (ע"ח)</CaseTypeName>
        <CaseName>רגב נ' מדינת ישראל</CaseName>
        <FullAddress/>
        <MotionID>0</MotionID>
        <CasePleaID>0</CasePleaID>
        <FatherName>פליקס מסעוד</FatherName>
        <LinkedCaseID>0</LinkedCaseID>
        <PartyID>1</PartyID>
        <CasePartyCategoryID>2</CasePartyCategoryID>
        <PleaTypeID>18</PleaTypeID>
        <GroupPartyAlias>עוררים</GroupPartyAlias>
        <IsConverted>false</IsConverted>
        <LegalEntityNameID>96694126</LegalEntityNameID>
        <RepresentatedNamesOfAssistant/>
        <LegalEntityTypeID>1</LegalEntityTypeID>
        <IsVerdictExists>false</IsVerdictExists>
        <IsAsirAzir>false</IsAsirAzir>
        <MainAndSecSpec/>
        <IsPublicationProhibited>false</IsPublicationProhibited>
        <PublicationProhibitedFullName>מירי רגב</PublicationProhibitedFullName>
      </CaseParties>
      <CaseParties>
        <PartyTypeName>בא כוח</PartyTypeName>
        <ProceedingType>כתב טענות עיקרי</ProceedingType>
        <PleaName>כתב ערר</PleaName>
        <PartyBelonging> - </PartyBelonging>
        <RoleName>בא כוח עוררים</RoleName>
        <IsSubProceeding>FALSE</IsSubProceeding>
        <FullName>עמית חדד</FullName>
        <FirstName>עמית</FirstName>
        <LastName>חדד</LastName>
        <PartyPropertyName/>
        <AuthenticationTypeAndNumber>מ.ר. 62884</AuthenticationTypeAndNumber>
        <RepresentatedOrRepresentativesNames>מירי רגב</RepresentatedOrRepresentativesNames>
        <RepresentatedOrRepresentativesCount>1</RepresentatedOrRepresentativesCount>
        <InvitedBy/>
        <CaseID>81348821</CaseID>
        <CaseJudicialPersonPresentationDS>
          <CaseJudicalPersonActive>
            <CaseID>81348821</CaseID>
            <JudicialPersonID>028969640@GOV.IL</JudicialPersonID>
            <JudicialPersonTypeID>1</JudicialPersonTypeID>
            <JudicialTypeID>1</JudicialTypeID>
            <IsChairman>false</IsChairman>
            <TreatmentStartDate>2024-06-27T12:45:20.76+03:00</TreatmentStartDate>
            <TreatmentFinishDate>9999-12-31T23:59:59.997+02:00</TreatmentFinishDate>
            <IdentificationCardNumber>028969640</IdentificationCardNumber>
            <DisplayName>עמית מיכלס</DisplayName>
            <JudicialTypeName>שופט</JudicialTypeName>
            <CaseJudicialGroupNumber>0</CaseJudicialGroupNumber>
            <FirstName>עמית</FirstName>
            <LastName>מיכלס</LastName>
            <JudicialPersonTitle>שופט</JudicialPersonTitle>
          </CaseJudicalPersonActive>
        </CaseJudicialPersonPresentationDS>
        <CasePartyID>272004967</CasePartyID>
        <PartyTypeID>2</PartyTypeID>
        <ActivityStatusID>1</ActivityStatusID>
        <PartyAliasID>35</PartyAliasID>
        <PartyAliasName>בא כוח עוררים</PartyAliasName>
        <OrdinalNumber>1</OrdinalNumber>
        <LegalEntityID>74468803</LegalEntityID>
        <CaseLegalEntityID>129437021</CaseLegalEntityID>
        <AuthenticationTypeID>4</AuthenticationTypeID>
        <AuthenticationTypeName>מ.ר.</AuthenticationTypeName>
        <LegalEntityNumber>62884</LegalEntityNumber>
        <IsMainPartyType>true</IsMainPartyType>
        <CaseDisplayIdentifier>62702-06-24</CaseDisplayIdentifier>
        <CaseTypeID>10178</CaseTypeID>
        <CaseTypeName>ערר אחר (ע"ח)</CaseTypeName>
        <CaseName>רגב נ' מדינת ישראל</CaseName>
        <FullAddress>ויצמן 2 תל אביב -יפו </FullAddress>
        <MotionID>0</MotionID>
        <CasePleaID>0</CasePleaID>
        <LinkedCaseID>0</LinkedCaseID>
        <PartyID>1</PartyID>
        <CasePartyCategoryID>2</CasePartyCategoryID>
        <LegalEntityAddressID>86510145</LegalEntityAddressID>
        <PleaTypeID>18</PleaTypeID>
        <LawyerOfficeName>משרד עו"ד חדד רוט שנהר ושות'</LawyerOfficeName>
        <LawyerOfficeID>74468804</LawyerOfficeID>
        <GroupPartyAlias/>
        <IsConverted>false</IsConverted>
        <LegalEntityNameID>80077881</LegalEntityNameID>
        <RepresentatedNamesOfAssistant/>
        <LegalEntityTypeID>4</LegalEntityTypeID>
        <IsVerdictExists>false</IsVerdictExists>
        <IsAsirAzir>false</IsAsirAzir>
        <MainAndSecSpec/>
        <IsPublicationProhibited>false</IsPublicationProhibited>
        <PublicationProhibitedFullName>עמית חדד</PublicationProhibitedFullName>
      </CaseParties>
      <CaseParties>
        <PartyTypeName>בא כוח</PartyTypeName>
        <ProceedingType>כתב טענות עיקרי</ProceedingType>
        <PleaName>כתב ערר</PleaName>
        <PartyBelonging> - </PartyBelonging>
        <RoleName>בא כוח משיבים</RoleName>
        <IsSubProceeding>FALSE</IsSubProceeding>
        <FullName>שירי לירון דודזו</FullName>
        <FirstName>שירי</FirstName>
        <LastName>לירון דודזו</LastName>
        <PartyPropertyName/>
        <AuthenticationTypeAndNumber>מ.ר. 38271</AuthenticationTypeAndNumber>
        <RepresentatedOrRepresentativesNames xml:space="preserve"> </RepresentatedOrRepresentativesNames>
        <RepresentatedOrRepresentativesCount>1</RepresentatedOrRepresentativesCount>
        <InvitedBy/>
        <CaseID>81348821</CaseID>
        <CaseJudicialPersonPresentationDS>
          <CaseJudicalPersonActive>
            <CaseID>81348821</CaseID>
            <JudicialPersonID>028969640@GOV.IL</JudicialPersonID>
            <JudicialPersonTypeID>1</JudicialPersonTypeID>
            <JudicialTypeID>1</JudicialTypeID>
            <IsChairman>false</IsChairman>
            <TreatmentStartDate>2024-06-27T12:45:20.76+03:00</TreatmentStartDate>
            <TreatmentFinishDate>9999-12-31T23:59:59.997+02:00</TreatmentFinishDate>
            <IdentificationCardNumber>028969640</IdentificationCardNumber>
            <DisplayName>עמית מיכלס</DisplayName>
            <JudicialTypeName>שופט</JudicialTypeName>
            <CaseJudicialGroupNumber>0</CaseJudicialGroupNumber>
            <FirstName>עמית</FirstName>
            <LastName>מיכלס</LastName>
            <JudicialPersonTitle>שופט</JudicialPersonTitle>
          </CaseJudicalPersonActive>
        </CaseJudicialPersonPresentationDS>
        <CasePartyID>272004968</CasePartyID>
        <PartyTypeID>2</PartyTypeID>
        <ActivityStatusID>1</ActivityStatusID>
        <PartyAliasID>23</PartyAliasID>
        <PartyAliasName>בא כוח משיבים</PartyAliasName>
        <OrdinalNumber>1</OrdinalNumber>
        <LegalEntityID>410290</LegalEntityID>
        <CaseLegalEntityID>129437022</CaseLegalEntityID>
        <AuthenticationTypeID>4</AuthenticationTypeID>
        <AuthenticationTypeName>מ.ר.</AuthenticationTypeName>
        <LegalEntityNumber>38271</LegalEntityNumber>
        <IsMainPartyType>true</IsMainPartyType>
        <CaseDisplayIdentifier>62702-06-24</CaseDisplayIdentifier>
        <CaseTypeID>10178</CaseTypeID>
        <CaseTypeName>ערר אחר (ע"ח)</CaseTypeName>
        <CaseName>רגב נ' מדינת ישראל</CaseName>
        <FullAddress>פסח לב 1 לוד </FullAddress>
        <MotionID>0</MotionID>
        <CasePleaID>0</CasePleaID>
        <FatherName>יצחק</FatherName>
        <LinkedCaseID>0</LinkedCaseID>
        <PartyID>2</PartyID>
        <CasePartyCategoryID>2</CasePartyCategoryID>
        <LegalEntityAddressID>85317159</LegalEntityAddressID>
        <PleaTypeID>18</PleaTypeID>
        <LawyerOfficeName>משטרה - להב 433  - יאח"ה - מחלק א'</LawyerOfficeName>
        <LawyerOfficeID>79833290</LawyerOfficeID>
        <GroupPartyAlias/>
        <IsConverted>false</IsConverted>
        <LegalEntityNameID>31274</LegalEntityNameID>
        <RepresentatedNamesOfAssistant/>
        <LegalEntityTypeID>4</LegalEntityTypeID>
        <IsVerdictExists>false</IsVerdictExists>
        <IsAsirAzir>false</IsAsirAzir>
        <MainAndSecSpec/>
        <IsPublicationProhibited>false</IsPublicationProhibited>
        <PublicationProhibitedFullName>שירי לירון דודזו</PublicationProhibitedFullName>
      </CaseParties>
      <CaseParties>
        <PartyTypeName>צד</PartyTypeName>
        <ProceedingType>כתב טענות עיקרי</ProceedingType>
        <PleaName>כתב ערר</PleaName>
        <PartyBelonging>צד ב'</PartyBelonging>
        <RoleName>משיב 1 - משיב</RoleName>
        <IsSubProceeding>FALSE</IsSubProceeding>
        <FullName>מדינת ישראל</FullName>
        <FirstName/>
        <LastName>מדינת ישראל</LastName>
        <PartyPropertyName/>
        <AuthenticationTypeAndNumber>מדינת ישראל </AuthenticationTypeAndNumber>
        <RepresentatedOrRepresentativesNames>שירי לירון דודזו</RepresentatedOrRepresentativesNames>
        <RepresentatedOrRepresentativesCount>1</RepresentatedOrRepresentativesCount>
        <InvitedBy/>
        <CaseID>81348821</CaseID>
        <CaseJudicialPersonPresentationDS>
          <CaseJudicalPersonActive>
            <CaseID>81348821</CaseID>
            <JudicialPersonID>028969640@GOV.IL</JudicialPersonID>
            <JudicialPersonTypeID>1</JudicialPersonTypeID>
            <JudicialTypeID>1</JudicialTypeID>
            <IsChairman>false</IsChairman>
            <TreatmentStartDate>2024-06-27T12:45:20.76+03:00</TreatmentStartDate>
            <TreatmentFinishDate>9999-12-31T23:59:59.997+02:00</TreatmentFinishDate>
            <IdentificationCardNumber>028969640</IdentificationCardNumber>
            <DisplayName>עמית מיכלס</DisplayName>
            <JudicialTypeName>שופט</JudicialTypeName>
            <CaseJudicialGroupNumber>0</CaseJudicialGroupNumber>
            <FirstName>עמית</FirstName>
            <LastName>מיכלס</LastName>
            <JudicialPersonTitle>שופט</JudicialPersonTitle>
          </CaseJudicalPersonActive>
        </CaseJudicialPersonPresentationDS>
        <CasePartyID>272004966</CasePartyID>
        <PartyTypeID>1</PartyTypeID>
        <ActivityStatusID>1</ActivityStatusID>
        <PartyAliasID>4</PartyAliasID>
        <PartyAliasName>משיב</PartyAliasName>
        <OrdinalNumber>1</OrdinalNumber>
        <LegalEntityID>4</LegalEntityID>
        <CaseLegalEntityID>129437020</CaseLegalEntityID>
        <AuthenticationTypeID>41</AuthenticationTypeID>
        <AuthenticationTypeName>מדינת ישראל </AuthenticationTypeName>
        <LegalEntityNumber/>
        <IsMainPartyType>true</IsMainPartyType>
        <CaseDisplayIdentifier>62702-06-24</CaseDisplayIdentifier>
        <CaseTypeID>10178</CaseTypeID>
        <CaseTypeName>ערר אחר (ע"ח)</CaseTypeName>
        <CaseName>רגב נ' מדינת ישראל</CaseName>
        <FullAddress/>
        <MotionID>0</MotionID>
        <CasePleaID>0</CasePleaID>
        <BirthDate>1955-01-01T00:00:00+02:00</BirthDate>
        <FatherName>ויקטור חיים</FatherName>
        <LinkedCaseID>0</LinkedCaseID>
        <PartyID>2</PartyID>
        <CasePartyCategoryID>2</CasePartyCategoryID>
        <PleaTypeID>18</PleaTypeID>
        <GroupPartyAlias>משיבים</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SelectionDS>
    <DecisionName>החלטה  שניתנה ע"י  עמית מיכלס</DecisionName>
    <CourtDisplayName>בית המשפט המחוזי מרכז-לוד</CourtDisplayName>
    <IsCaseJudgePanel>false</IsCaseJudgePanel>
    <DecisionSignatureDate>2024-07-17T08:18:51.9966195+03:00</DecisionSignatureDate>
    <OpenCaseDate>2024-06-27T12:43:00+03:00</OpenCaseDate>
    <DecisionTypeID>1</DecisionTypeID>
    <DecisionSignatureUserName>עמית מיכלס</DecisionSignatureUserName>
    <DecisionSignatureDateHebrew>2024-07-17T08:18:51.9966195+03:00</DecisionSignatureDateHebrew>
    <DecisionWriterID>028969640@GOV.IL</DecisionWriterID>
    <CourtAddress>רח' שדרות הציונות 3, לוד -1</CourtAddress>
    <IsAutoTextInCaseExist>false</IsAutoTextInCaseExist>
    <DecisionSignatureRoleName>שופט</DecisionSignatureRoleName>
    <DecisionSignatureUserTitleName>שופט</DecisionSignatureUserTitleName>
    <CaseName>רגב נ' מדינת ישראל</CaseName>
    <DecisionNumberInCase>10</DecisionNumberInCase>
  </dt_Decision>
  <dt_DecisionCase>
    <DecisionID>0</DecisionID>
    <CaseID>81348821</CaseID>
    <CaseJudicialPersonPresentationDS>
      <CaseJudicalPersonActive>
        <CaseID>81348821</CaseID>
        <JudicialPersonID>028969640@GOV.IL</JudicialPersonID>
        <JudicialPersonTypeID>1</JudicialPersonTypeID>
        <JudicialTypeID>1</JudicialTypeID>
        <IsChairman>false</IsChairman>
        <TreatmentStartDate>2024-06-27T12:45:20.76+03:00</TreatmentStartDate>
        <TreatmentFinishDate>9999-12-31T23:59:59.997+02:00</TreatmentFinishDate>
        <IdentificationCardNumber>028969640</IdentificationCardNumber>
        <DisplayName>עמית מיכלס</DisplayName>
        <JudicialTypeName>שופט</JudicialTypeName>
        <CaseJudicialGroupNumber>0</CaseJudicialGroupNumber>
        <FirstName>עמית</FirstName>
        <LastName>מיכלס</LastName>
        <JudicialPersonTitle>שופט</JudicialPersonTitle>
      </CaseJudicalPersonActive>
    </CaseJudicialPersonPresentationDS>
    <CasePartiesSelectionDS>
      <CaseParties>
        <PartyTypeName>צד</PartyTypeName>
        <ProceedingType>כתב טענות עיקרי</ProceedingType>
        <PleaName>כתב ערר</PleaName>
        <PartyBelonging>צד א'</PartyBelonging>
        <RoleName>עורר 1 - מבקש</RoleName>
        <IsSubProceeding>FALSE</IsSubProceeding>
        <FullName>מירי רגב</FullName>
        <FirstName>מירי</FirstName>
        <LastName>רגב</LastName>
        <PartyPropertyName/>
        <AuthenticationTypeAndNumber>ת"ז 059602714</AuthenticationTypeAndNumber>
        <RepresentatedOrRepresentativesNames>עמית חדד</RepresentatedOrRepresentativesNames>
        <RepresentatedOrRepresentativesCount>1</RepresentatedOrRepresentativesCount>
        <InvitedBy/>
        <CaseID>81348821</CaseID>
        <CaseJudicialPersonPresentationDS>
          <CaseJudicalPersonActive>
            <CaseID>81348821</CaseID>
            <JudicialPersonID>028969640@GOV.IL</JudicialPersonID>
            <JudicialPersonTypeID>1</JudicialPersonTypeID>
            <JudicialTypeID>1</JudicialTypeID>
            <IsChairman>false</IsChairman>
            <TreatmentStartDate>2024-06-27T12:45:20.76+03:00</TreatmentStartDate>
            <TreatmentFinishDate>9999-12-31T23:59:59.997+02:00</TreatmentFinishDate>
            <IdentificationCardNumber>028969640</IdentificationCardNumber>
            <DisplayName>עמית מיכלס</DisplayName>
            <JudicialTypeName>שופט</JudicialTypeName>
            <CaseJudicialGroupNumber>0</CaseJudicialGroupNumber>
            <FirstName>עמית</FirstName>
            <LastName>מיכלס</LastName>
            <JudicialPersonTitle>שופט</JudicialPersonTitle>
          </CaseJudicalPersonActive>
        </CaseJudicialPersonPresentationDS>
        <CasePartyID>272004965</CasePartyID>
        <PartyTypeID>1</PartyTypeID>
        <ActivityStatusID>1</ActivityStatusID>
        <PartyAliasID>16</PartyAliasID>
        <PartyAliasName>עורר</PartyAliasName>
        <OrdinalNumber>1</OrdinalNumber>
        <LegalEntityID>73908493</LegalEntityID>
        <CaseLegalEntityID>129437019</CaseLegalEntityID>
        <AuthenticationTypeID>1</AuthenticationTypeID>
        <AuthenticationTypeName>ת"ז</AuthenticationTypeName>
        <LegalEntityNumber>059602714</LegalEntityNumber>
        <IsMainPartyType>true</IsMainPartyType>
        <CaseDisplayIdentifier>62702-06-24</CaseDisplayIdentifier>
        <CaseTypeID>10178</CaseTypeID>
        <CaseTypeName>ערר אחר (ע"ח)</CaseTypeName>
        <CaseName>רגב נ' מדינת ישראל</CaseName>
        <FullAddress/>
        <MotionID>0</MotionID>
        <CasePleaID>0</CasePleaID>
        <FatherName>פליקס מסעוד</FatherName>
        <LinkedCaseID>0</LinkedCaseID>
        <PartyID>1</PartyID>
        <CasePartyCategoryID>2</CasePartyCategoryID>
        <PleaTypeID>18</PleaTypeID>
        <GroupPartyAlias>עוררים</GroupPartyAlias>
        <IsConverted>false</IsConverted>
        <LegalEntityNameID>96694126</LegalEntityNameID>
        <RepresentatedNamesOfAssistant/>
        <LegalEntityTypeID>1</LegalEntityTypeID>
        <IsVerdictExists>false</IsVerdictExists>
        <IsAsirAzir>false</IsAsirAzir>
        <MainAndSecSpec/>
        <IsPublicationProhibited>false</IsPublicationProhibited>
        <PublicationProhibitedFullName>מירי רגב</PublicationProhibitedFullName>
      </CaseParties>
      <CaseParties>
        <PartyTypeName>בא כוח</PartyTypeName>
        <ProceedingType>כתב טענות עיקרי</ProceedingType>
        <PleaName>כתב ערר</PleaName>
        <PartyBelonging> - </PartyBelonging>
        <RoleName>בא כוח עוררים</RoleName>
        <IsSubProceeding>FALSE</IsSubProceeding>
        <FullName>עמית חדד</FullName>
        <FirstName>עמית</FirstName>
        <LastName>חדד</LastName>
        <PartyPropertyName/>
        <AuthenticationTypeAndNumber>מ.ר. 62884</AuthenticationTypeAndNumber>
        <RepresentatedOrRepresentativesNames>מירי רגב</RepresentatedOrRepresentativesNames>
        <RepresentatedOrRepresentativesCount>1</RepresentatedOrRepresentativesCount>
        <InvitedBy/>
        <CaseID>81348821</CaseID>
        <CaseJudicialPersonPresentationDS>
          <CaseJudicalPersonActive>
            <CaseID>81348821</CaseID>
            <JudicialPersonID>028969640@GOV.IL</JudicialPersonID>
            <JudicialPersonTypeID>1</JudicialPersonTypeID>
            <JudicialTypeID>1</JudicialTypeID>
            <IsChairman>false</IsChairman>
            <TreatmentStartDate>2024-06-27T12:45:20.76+03:00</TreatmentStartDate>
            <TreatmentFinishDate>9999-12-31T23:59:59.997+02:00</TreatmentFinishDate>
            <IdentificationCardNumber>028969640</IdentificationCardNumber>
            <DisplayName>עמית מיכלס</DisplayName>
            <JudicialTypeName>שופט</JudicialTypeName>
            <CaseJudicialGroupNumber>0</CaseJudicialGroupNumber>
            <FirstName>עמית</FirstName>
            <LastName>מיכלס</LastName>
            <JudicialPersonTitle>שופט</JudicialPersonTitle>
          </CaseJudicalPersonActive>
        </CaseJudicialPersonPresentationDS>
        <CasePartyID>272004967</CasePartyID>
        <PartyTypeID>2</PartyTypeID>
        <ActivityStatusID>1</ActivityStatusID>
        <PartyAliasID>35</PartyAliasID>
        <PartyAliasName>בא כוח עוררים</PartyAliasName>
        <OrdinalNumber>1</OrdinalNumber>
        <LegalEntityID>74468803</LegalEntityID>
        <CaseLegalEntityID>129437021</CaseLegalEntityID>
        <AuthenticationTypeID>4</AuthenticationTypeID>
        <AuthenticationTypeName>מ.ר.</AuthenticationTypeName>
        <LegalEntityNumber>62884</LegalEntityNumber>
        <IsMainPartyType>true</IsMainPartyType>
        <CaseDisplayIdentifier>62702-06-24</CaseDisplayIdentifier>
        <CaseTypeID>10178</CaseTypeID>
        <CaseTypeName>ערר אחר (ע"ח)</CaseTypeName>
        <CaseName>רגב נ' מדינת ישראל</CaseName>
        <FullAddress>ויצמן 2 תל אביב -יפו </FullAddress>
        <MotionID>0</MotionID>
        <CasePleaID>0</CasePleaID>
        <LinkedCaseID>0</LinkedCaseID>
        <PartyID>1</PartyID>
        <CasePartyCategoryID>2</CasePartyCategoryID>
        <LegalEntityAddressID>86510145</LegalEntityAddressID>
        <PleaTypeID>18</PleaTypeID>
        <LawyerOfficeName>משרד עו"ד חדד רוט שנהר ושות'</LawyerOfficeName>
        <LawyerOfficeID>74468804</LawyerOfficeID>
        <GroupPartyAlias/>
        <IsConverted>false</IsConverted>
        <LegalEntityNameID>80077881</LegalEntityNameID>
        <RepresentatedNamesOfAssistant/>
        <LegalEntityTypeID>4</LegalEntityTypeID>
        <IsVerdictExists>false</IsVerdictExists>
        <IsAsirAzir>false</IsAsirAzir>
        <MainAndSecSpec/>
        <IsPublicationProhibited>false</IsPublicationProhibited>
        <PublicationProhibitedFullName>עמית חדד</PublicationProhibitedFullName>
      </CaseParties>
      <CaseParties>
        <PartyTypeName>בא כוח</PartyTypeName>
        <ProceedingType>כתב טענות עיקרי</ProceedingType>
        <PleaName>כתב ערר</PleaName>
        <PartyBelonging> - </PartyBelonging>
        <RoleName>בא כוח משיבים</RoleName>
        <IsSubProceeding>FALSE</IsSubProceeding>
        <FullName>שירי לירון דודזו</FullName>
        <FirstName>שירי</FirstName>
        <LastName>לירון דודזו</LastName>
        <PartyPropertyName/>
        <AuthenticationTypeAndNumber>מ.ר. 38271</AuthenticationTypeAndNumber>
        <RepresentatedOrRepresentativesNames xml:space="preserve"> </RepresentatedOrRepresentativesNames>
        <RepresentatedOrRepresentativesCount>1</RepresentatedOrRepresentativesCount>
        <InvitedBy/>
        <CaseID>81348821</CaseID>
        <CaseJudicialPersonPresentationDS>
          <CaseJudicalPersonActive>
            <CaseID>81348821</CaseID>
            <JudicialPersonID>028969640@GOV.IL</JudicialPersonID>
            <JudicialPersonTypeID>1</JudicialPersonTypeID>
            <JudicialTypeID>1</JudicialTypeID>
            <IsChairman>false</IsChairman>
            <TreatmentStartDate>2024-06-27T12:45:20.76+03:00</TreatmentStartDate>
            <TreatmentFinishDate>9999-12-31T23:59:59.997+02:00</TreatmentFinishDate>
            <IdentificationCardNumber>028969640</IdentificationCardNumber>
            <DisplayName>עמית מיכלס</DisplayName>
            <JudicialTypeName>שופט</JudicialTypeName>
            <CaseJudicialGroupNumber>0</CaseJudicialGroupNumber>
            <FirstName>עמית</FirstName>
            <LastName>מיכלס</LastName>
            <JudicialPersonTitle>שופט</JudicialPersonTitle>
          </CaseJudicalPersonActive>
        </CaseJudicialPersonPresentationDS>
        <CasePartyID>272004968</CasePartyID>
        <PartyTypeID>2</PartyTypeID>
        <ActivityStatusID>1</ActivityStatusID>
        <PartyAliasID>23</PartyAliasID>
        <PartyAliasName>בא כוח משיבים</PartyAliasName>
        <OrdinalNumber>1</OrdinalNumber>
        <LegalEntityID>410290</LegalEntityID>
        <CaseLegalEntityID>129437022</CaseLegalEntityID>
        <AuthenticationTypeID>4</AuthenticationTypeID>
        <AuthenticationTypeName>מ.ר.</AuthenticationTypeName>
        <LegalEntityNumber>38271</LegalEntityNumber>
        <IsMainPartyType>true</IsMainPartyType>
        <CaseDisplayIdentifier>62702-06-24</CaseDisplayIdentifier>
        <CaseTypeID>10178</CaseTypeID>
        <CaseTypeName>ערר אחר (ע"ח)</CaseTypeName>
        <CaseName>רגב נ' מדינת ישראל</CaseName>
        <FullAddress>פסח לב 1 לוד </FullAddress>
        <MotionID>0</MotionID>
        <CasePleaID>0</CasePleaID>
        <FatherName>יצחק</FatherName>
        <LinkedCaseID>0</LinkedCaseID>
        <PartyID>2</PartyID>
        <CasePartyCategoryID>2</CasePartyCategoryID>
        <LegalEntityAddressID>85317159</LegalEntityAddressID>
        <PleaTypeID>18</PleaTypeID>
        <LawyerOfficeName>משטרה - להב 433  - יאח"ה - מחלק א'</LawyerOfficeName>
        <LawyerOfficeID>79833290</LawyerOfficeID>
        <GroupPartyAlias/>
        <IsConverted>false</IsConverted>
        <LegalEntityNameID>31274</LegalEntityNameID>
        <RepresentatedNamesOfAssistant/>
        <LegalEntityTypeID>4</LegalEntityTypeID>
        <IsVerdictExists>false</IsVerdictExists>
        <IsAsirAzir>false</IsAsirAzir>
        <MainAndSecSpec/>
        <IsPublicationProhibited>false</IsPublicationProhibited>
        <PublicationProhibitedFullName>שירי לירון דודזו</PublicationProhibitedFullName>
      </CaseParties>
      <CaseParties>
        <PartyTypeName>צד</PartyTypeName>
        <ProceedingType>כתב טענות עיקרי</ProceedingType>
        <PleaName>כתב ערר</PleaName>
        <PartyBelonging>צד ב'</PartyBelonging>
        <RoleName>משיב 1 - משיב</RoleName>
        <IsSubProceeding>FALSE</IsSubProceeding>
        <FullName>מדינת ישראל</FullName>
        <FirstName/>
        <LastName>מדינת ישראל</LastName>
        <PartyPropertyName/>
        <AuthenticationTypeAndNumber>מדינת ישראל </AuthenticationTypeAndNumber>
        <RepresentatedOrRepresentativesNames>שירי לירון דודזו</RepresentatedOrRepresentativesNames>
        <RepresentatedOrRepresentativesCount>1</RepresentatedOrRepresentativesCount>
        <InvitedBy/>
        <CaseID>81348821</CaseID>
        <CaseJudicialPersonPresentationDS>
          <CaseJudicalPersonActive>
            <CaseID>81348821</CaseID>
            <JudicialPersonID>028969640@GOV.IL</JudicialPersonID>
            <JudicialPersonTypeID>1</JudicialPersonTypeID>
            <JudicialTypeID>1</JudicialTypeID>
            <IsChairman>false</IsChairman>
            <TreatmentStartDate>2024-06-27T12:45:20.76+03:00</TreatmentStartDate>
            <TreatmentFinishDate>9999-12-31T23:59:59.997+02:00</TreatmentFinishDate>
            <IdentificationCardNumber>028969640</IdentificationCardNumber>
            <DisplayName>עמית מיכלס</DisplayName>
            <JudicialTypeName>שופט</JudicialTypeName>
            <CaseJudicialGroupNumber>0</CaseJudicialGroupNumber>
            <FirstName>עמית</FirstName>
            <LastName>מיכלס</LastName>
            <JudicialPersonTitle>שופט</JudicialPersonTitle>
          </CaseJudicalPersonActive>
        </CaseJudicialPersonPresentationDS>
        <CasePartyID>272004966</CasePartyID>
        <PartyTypeID>1</PartyTypeID>
        <ActivityStatusID>1</ActivityStatusID>
        <PartyAliasID>4</PartyAliasID>
        <PartyAliasName>משיב</PartyAliasName>
        <OrdinalNumber>1</OrdinalNumber>
        <LegalEntityID>4</LegalEntityID>
        <CaseLegalEntityID>129437020</CaseLegalEntityID>
        <AuthenticationTypeID>41</AuthenticationTypeID>
        <AuthenticationTypeName>מדינת ישראל </AuthenticationTypeName>
        <LegalEntityNumber/>
        <IsMainPartyType>true</IsMainPartyType>
        <CaseDisplayIdentifier>62702-06-24</CaseDisplayIdentifier>
        <CaseTypeID>10178</CaseTypeID>
        <CaseTypeName>ערר אחר (ע"ח)</CaseTypeName>
        <CaseName>רגב נ' מדינת ישראל</CaseName>
        <FullAddress/>
        <MotionID>0</MotionID>
        <CasePleaID>0</CasePleaID>
        <BirthDate>1955-01-01T00:00:00+02:00</BirthDate>
        <FatherName>ויקטור חיים</FatherName>
        <LinkedCaseID>0</LinkedCaseID>
        <PartyID>2</PartyID>
        <CasePartyCategoryID>2</CasePartyCategoryID>
        <PleaTypeID>18</PleaTypeID>
        <GroupPartyAlias>משיבים</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SelectionDS>
    <CaseName>רגב נ' מדינת ישראל</CaseName>
    <CaseDisplayIdentifier>62702-06-24</CaseDisplayIdentifier>
    <CaseTypeShortName>ע"ח</CaseTypeShortName>
  </dt_DecisionCase>
  <dt_DecisionJudgePanel>
    <JudgeID>028969640@GOV.IL</JudgeID>
    <DisplayName>עמית מיכלס</DisplayName>
    <RoleName>שופט</RoleName>
    <UserTitleName>שופט</UserTitleName>
  </dt_DecisionJudgePanel>
  <dt_LegalEntityDetails>
    <PartyID>1</PartyID>
    <PartyTypeID>1</PartyTypeID>
    <DecisionID>0</DecisionID>
    <IsPublicationProhibited>false</IsPublicationProhibited>
  </dt_LegalEntityDetails>
  <dt_LegalEntityDetails>
    <PartyID>2</PartyID>
    <PartyTypeID>1</PartyTypeID>
    <DecisionID>0</DecisionID>
    <IsPublicationProhibited>false</IsPublicationProhibited>
  </dt_LegalEntityDetails>
  <dt_LegalEntityDetails>
    <Fax>03-5333314</Fax>
    <Phone>03-5333313</Phone>
    <PartyID>1</PartyID>
    <PartyTypeID>2</PartyTypeID>
    <DecisionID>0</DecisionID>
    <StreetName>ויצמן 2</StreetName>
    <ZipCode>6423902</ZipCode>
    <CityName>תל אביב -יפו</CityName>
    <FullName>עמית חדד</FullName>
    <Email>shlomi@har.law</Email>
    <IsPublicationProhibited>false</IsPublicationProhibited>
  </dt_LegalEntityDetails>
  <dt_LegalEntityDetails>
    <Fax>08-9545930</Fax>
    <PartyID>2</PartyID>
    <PartyTypeID>2</PartyTypeID>
    <DecisionID>0</DecisionID>
    <StreetName>פסח לב 1</StreetName>
    <CityName>לוד</CityName>
    <FullName>שירי לירון דודזו</FullName>
    <Email>yaha-a@police.gov.il</Email>
    <IsPublicationProhibited>false</IsPublicationProhibited>
  </dt_LegalEntityDetails>
  <dt_CaseJudicalPersonActive>
    <CaseJudicalPerson>שופט עמית מיכלס</CaseJudicalPerson>
  </dt_CaseJudicalPersonActive>
  <dt_Sitting>
    <PreviousMeetingDate>2024-07-16T14:00:00+03:00</PreviousMeetingDate>
    <PreviousSittingTypeID>5</PreviousSittingTypeID>
    <PreviousMeetingDisplayName>שופט עמית מיכלס</PreviousMeetingDisplayName>
    <PreviousMeetingRoleName>שופט</PreviousMeetingRoleName>
    <PreviousMeetingUserTitleName>שופט</PreviousMeetingUserTitleName>
    <PreviousMeetingUserUPN>028969640@GOV.IL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FF8AF8-FBD9-485D-AE9A-9220E1214515}">
  <ds:schemaRefs/>
</ds:datastoreItem>
</file>

<file path=customXml/itemProps2.xml><?xml version="1.0" encoding="utf-8"?>
<ds:datastoreItem xmlns:ds="http://schemas.openxmlformats.org/officeDocument/2006/customXml" ds:itemID="{2BD3F19A-BB38-4808-8631-FE06F7320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3458</Words>
  <Characters>17293</Characters>
  <Application>Microsoft Office Word</Application>
  <DocSecurity>0</DocSecurity>
  <Lines>144</Lines>
  <Paragraphs>41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20710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2024-07-27T14:57:00Z</cp:lastPrinted>
  <dcterms:created xsi:type="dcterms:W3CDTF">2024-07-28T09:40:00Z</dcterms:created>
  <dcterms:modified xsi:type="dcterms:W3CDTF">2024-07-28T09:40:00Z</dcterms:modified>
</cp:coreProperties>
</file>